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Kessling County Aquifer Cross-Section: A Two-Ink Illustration Project</w:t>
      </w:r>
    </w:p>
    <w:p>
      <w:pPr>
        <w:keepNext/>
        <w:spacing w:after="160"/>
      </w:pPr>
      <w:r>
        <w:rPr>
          <w:color w:val="5B6B70"/>
          <w:sz w:val="20"/>
          <w:szCs w:val="20"/>
        </w:rPr>
        <w:t xml:space="preserve">Project · Grade 10 · Art &amp; Music</w:t>
      </w:r>
    </w:p>
    <w:p>
      <w:pPr>
        <w:spacing w:after="100" w:line="264"/>
      </w:pPr>
      <w:r>
        <w:rPr>
          <w:i/>
          <w:iCs/>
          <w:color w:val="12333F"/>
          <w:sz w:val="22"/>
          <w:szCs w:val="22"/>
        </w:rPr>
        <w:t xml:space="preserve">Grade 10 teams design a two-ink aquifer cross-section for a fictional county well guide, choosing a vertical exaggeration, layer patterns, an inset, and captions.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Tabloid paper (11 by 17 inches), two sheets per team plus scrap paper</w:t>
            </w:r>
          </w:p>
          <w:p>
            <w:pPr>
              <w:spacing w:after="0"/>
            </w:pPr>
            <w:r>
              <w:rPr>
                <w:sz w:val="20"/>
                <w:szCs w:val="20"/>
              </w:rPr>
              <w:t xml:space="preserve">• Rulers marked in sixteenths of an inch</w:t>
            </w:r>
          </w:p>
          <w:p>
            <w:pPr>
              <w:spacing w:after="0"/>
            </w:pPr>
            <w:r>
              <w:rPr>
                <w:sz w:val="20"/>
                <w:szCs w:val="20"/>
              </w:rPr>
              <w:t xml:space="preserve">• Black fine-liner pens in two or three line widths</w:t>
            </w:r>
          </w:p>
          <w:p>
            <w:pPr>
              <w:spacing w:after="0"/>
            </w:pPr>
            <w:r>
              <w:rPr>
                <w:sz w:val="20"/>
                <w:szCs w:val="20"/>
              </w:rPr>
              <w:t xml:space="preserve">• Graphite pencils and erasers</w:t>
            </w:r>
          </w:p>
          <w:p>
            <w:pPr>
              <w:spacing w:after="0"/>
            </w:pPr>
            <w:r>
              <w:rPr>
                <w:sz w:val="20"/>
                <w:szCs w:val="20"/>
              </w:rPr>
              <w:t xml:space="preserve">• Blue colored pencils or blue markers, one shade of blue per team</w:t>
            </w:r>
          </w:p>
          <w:p>
            <w:pPr>
              <w:spacing w:after="0"/>
            </w:pPr>
            <w:r>
              <w:rPr>
                <w:sz w:val="20"/>
                <w:szCs w:val="20"/>
              </w:rPr>
              <w:t xml:space="preserve">• Tracing paper</w:t>
            </w:r>
          </w:p>
          <w:p>
            <w:pPr>
              <w:spacing w:after="0"/>
            </w:pPr>
            <w:r>
              <w:rPr>
                <w:sz w:val="20"/>
                <w:szCs w:val="20"/>
              </w:rPr>
              <w:t xml:space="preserve">• Access to a black-and-white photocopier, or a phone camera set to grayscale</w:t>
            </w:r>
          </w:p>
          <w:p>
            <w:pPr>
              <w:spacing w:after="0"/>
            </w:pPr>
            <w:r>
              <w:rPr>
                <w:sz w:val="20"/>
                <w:szCs w:val="20"/>
              </w:rPr>
              <w:t xml:space="preserve">• Printed copies of the Kessling County data sheet from the Project Brief</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choose a vertical scale for an aquifer cross-section that fits a fixed frame and keeps the thinnest layer legible, and will state the resulting vertical exaggeration on the figure.</w:t>
      </w:r>
    </w:p>
    <w:p>
      <w:pPr>
        <w:pStyle w:val="ListParagraph"/>
        <w:keepNext/>
        <w:keepLines/>
        <w:numPr>
          <w:ilvl w:val="0"/>
          <w:numId w:val="2"/>
        </w:numPr>
        <w:spacing w:after="60" w:line="264"/>
        <w:ind w:left="720" w:hanging="360"/>
      </w:pPr>
      <w:r>
        <w:rPr>
          <w:sz w:val="22"/>
          <w:szCs w:val="22"/>
        </w:rPr>
        <w:t xml:space="preserve">Students will design a pattern and tint system in black and one blue that keeps four layers and the water-filled zones distinct in a black-and-white copy.</w:t>
      </w:r>
    </w:p>
    <w:p>
      <w:pPr>
        <w:pStyle w:val="ListParagraph"/>
        <w:keepNext/>
        <w:keepLines/>
        <w:numPr>
          <w:ilvl w:val="0"/>
          <w:numId w:val="2"/>
        </w:numPr>
        <w:spacing w:after="60" w:line="264"/>
        <w:ind w:left="720" w:hanging="360"/>
      </w:pPr>
      <w:r>
        <w:rPr>
          <w:sz w:val="22"/>
          <w:szCs w:val="22"/>
        </w:rPr>
        <w:t xml:space="preserve">Students will draw an inset at a larger scale, with its own scale bar and locator mark, to show features too small for the main section.</w:t>
      </w:r>
    </w:p>
    <w:p>
      <w:pPr>
        <w:pStyle w:val="ListParagraph"/>
        <w:keepLines/>
        <w:numPr>
          <w:ilvl w:val="0"/>
          <w:numId w:val="2"/>
        </w:numPr>
        <w:spacing w:after="60" w:line="264"/>
        <w:ind w:left="720" w:hanging="360"/>
      </w:pPr>
      <w:r>
        <w:rPr>
          <w:sz w:val="22"/>
          <w:szCs w:val="22"/>
        </w:rPr>
        <w:t xml:space="preserve">Students will write captions that explain how groundwater fills pore spaces and how water from a septic drain field can reach a shallow well.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In Milestone 2 each team works in feet per inch to find the range of vertical scales allowed by the frame and the clay rule, chooses one scale and a vertical origin (elevation above sea level or depth below a named point), computes the resulting vertical exaggeration against the fixed horizontal scale, and records a rejected scale with its reason. This addresses the clause on choosing and interpreting the scale and the origin in a data display, and the clause on using units to guide a multi-step solution.</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In Milestone 5 each team writes three captions of 40 words or fewer explaining pore-space groundwater, the role of the confining clay layer, and the path from the drain field to the farmhouse well, and a one-page design memo explaining its scale choices and photocopy results. The captions and memo are short explanatory texts that depend on selecting and organizing content alongside a figure; the project does not ask for a sustained explanatory essay.</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Water table</w:t>
      </w:r>
      <w:r>
        <w:rPr>
          <w:sz w:val="22"/>
          <w:szCs w:val="22"/>
        </w:rPr>
        <w:t xml:space="preserve">: The water table is the underground level below which the ground is completely soaked with water. Dig a hole deeper than the water table and it will start filling with water.</w:t>
      </w:r>
    </w:p>
    <w:p>
      <w:pPr>
        <w:keepNext/>
        <w:spacing w:after="80" w:line="264"/>
      </w:pPr>
      <w:r>
        <w:rPr>
          <w:b/>
          <w:bCs/>
          <w:sz w:val="22"/>
          <w:szCs w:val="22"/>
        </w:rPr>
        <w:t xml:space="preserve">Confining layer</w:t>
      </w:r>
      <w:r>
        <w:rPr>
          <w:sz w:val="22"/>
          <w:szCs w:val="22"/>
        </w:rPr>
        <w:t xml:space="preserve">: A confining layer is a layer of tightly packed clay or solid rock that water cannot easily pass through. It acts like a lid or a floor for the water stored underground.</w:t>
      </w:r>
    </w:p>
    <w:p>
      <w:pPr>
        <w:spacing w:after="100" w:line="264"/>
      </w:pPr>
      <w:r>
        <w:rPr>
          <w:b/>
          <w:bCs/>
          <w:sz w:val="22"/>
          <w:szCs w:val="22"/>
        </w:rPr>
        <w:t xml:space="preserve">Also: </w:t>
      </w:r>
      <w:r>
        <w:rPr>
          <w:sz w:val="22"/>
          <w:szCs w:val="22"/>
        </w:rPr>
        <w:t xml:space="preserve">cross-section, pore space, vertical exaggeration, inset, tint</w:t>
      </w:r>
    </w:p>
    <w:p>
      <w:pPr>
        <w:pStyle w:val="Heading2"/>
        <w:keepNext/>
        <w:keepLines/>
      </w:pPr>
      <w:r>
        <w:rPr>
          <w:sz w:val="28"/>
          <w:szCs w:val="28"/>
        </w:rPr>
        <w:t xml:space="preserve">Teacher overview</w:t>
      </w:r>
    </w:p>
    <w:p>
      <w:pPr>
        <w:spacing w:after="100" w:line="264"/>
      </w:pPr>
      <w:r>
        <w:rPr>
          <w:sz w:val="22"/>
          <w:szCs w:val="22"/>
        </w:rPr>
        <w:t xml:space="preserve">Geologic cross-sections are a common way for geologists, hydrogeologists, and public health agencies to show where well water comes from, and the drawing works only when its designer makes deliberate choices about scale, pattern, and emphasis. Over five sessions, teams design the centerfold illustration for a well-owner guide published by the fictional Kessling County Health Department: a cross-section along a 12,000-foot line from Maddox Ridge to the Tulley River, printed in black and one blue. Teams choose a vertical exaggeration that fits a fixed frame, build a pattern and tint system that survives a black-and-white photocopy, draw an inset for features too small to show at section scale, and write three short captions. Each team turns in the finished centerfold on tabloid paper, a one-page design memo, and a three-minute presentation to a county review panel played by classmates.</w:t>
      </w:r>
    </w:p>
    <w:p>
      <w:pPr>
        <w:spacing w:after="100" w:line="264"/>
      </w:pPr>
      <w:r>
        <w:rPr>
          <w:sz w:val="22"/>
          <w:szCs w:val="22"/>
        </w:rPr>
        <w:t xml:space="preserve">A common misconception, held by many adults as well as students, is that groundwater sits in underground lakes or flows in underground rivers. In sand, gravel, and most sandstone, the water fills the small pore spaces between grains, and the water table is the top of the zone where those pores are full. A cross-section that paints an aquifer as a flat band of solid blue reinforces the underground-lake picture, so the brief requires teams to show water as a blue tint running through the grain pattern, and the rubric rewards teams that can explain why. A second misconception comes from the drawing itself, because readers tend to take the slopes in an exaggerated section at face value. In Session 2, have teams set their layout beside the true-scale strip from Session 1, and ask each memo to explain why the ground in the drawing looks much steeper than the gentle walk from the ridge to the river.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Break the scale work in Session 2 into two separate questions: how many feet the fictional section spans from top to bottom, and how many inches of the frame are left for it once the space above ground is reserved. Teams that have both numbers can usually find the frame limit themselves, and the clay limit then follows the same pattern. The Session 1 strip is also worth checking before teams move on, because at true scale the whole section is only about a quarter inch tall and the clay layer is about as thin as an inked line, which is the reason exaggeration is needed at all. Provide tabloid sheets with the 12-by-6-inch frame and a light half-inch grid already printed, and offer a starter set of six black patterns (fine dots, open circles, short dashes, long dashes, a brick pattern, and diagonal hatching) for teams to choose from rather than invent. For the inset, one workable choice is 1 inch = 50 feet across and 1 inch = 25 feet down, which is an exaggeration of 2 times and fits the 150-foot spacing and the 50-foot well inside the size limit.</w:t>
      </w:r>
    </w:p>
    <w:p>
      <w:pPr>
        <w:pStyle w:val="Heading3"/>
        <w:keepNext/>
        <w:keepLines/>
      </w:pPr>
      <w:r>
        <w:rPr>
          <w:sz w:val="24"/>
          <w:szCs w:val="24"/>
        </w:rPr>
        <w:t xml:space="preserve">Extension</w:t>
      </w:r>
    </w:p>
    <w:p>
      <w:pPr>
        <w:spacing w:after="100" w:line="264"/>
      </w:pPr>
      <w:r>
        <w:rPr>
          <w:sz w:val="22"/>
          <w:szCs w:val="22"/>
        </w:rPr>
        <w:t xml:space="preserve">Give advanced teams one more line for the fictional data sheet: water in the newer house's well rises to 30 feet below the ground, which is 40 feet above the top of the sandstone, because water in a confined aquifer is under pressure. Teams show that water level inside the deep well without implying that the clay layer around it holds open water, and they add a fourth caption of 40 words or fewer, as an exception to the three-caption limit, explaining the difference between the water table and the level in the deep well. A team that finishes early can also draw a second version of the section at the other end of the allowed scale range and write a short note to the county recommending one of the two, with reasons drawn from the well-owner test.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cross-section</w:t>
      </w:r>
      <w:r>
        <w:rPr>
          <w:sz w:val="22"/>
          <w:szCs w:val="22"/>
        </w:rPr>
        <w:t xml:space="preserve">, </w:t>
      </w:r>
      <w:r>
        <w:rPr>
          <w:i/>
          <w:iCs/>
          <w:sz w:val="22"/>
          <w:szCs w:val="22"/>
        </w:rPr>
        <w:t xml:space="preserve">aquifer</w:t>
      </w:r>
      <w:r>
        <w:rPr>
          <w:sz w:val="22"/>
          <w:szCs w:val="22"/>
        </w:rPr>
        <w:t xml:space="preserve">, </w:t>
      </w:r>
      <w:r>
        <w:rPr>
          <w:i/>
          <w:iCs/>
          <w:sz w:val="22"/>
          <w:szCs w:val="22"/>
        </w:rPr>
        <w:t xml:space="preserve">water table</w:t>
      </w:r>
      <w:r>
        <w:rPr>
          <w:sz w:val="22"/>
          <w:szCs w:val="22"/>
        </w:rPr>
        <w:t xml:space="preserve">, </w:t>
      </w:r>
      <w:r>
        <w:rPr>
          <w:i/>
          <w:iCs/>
          <w:sz w:val="22"/>
          <w:szCs w:val="22"/>
        </w:rPr>
        <w:t xml:space="preserve">confining layer</w:t>
      </w:r>
      <w:r>
        <w:rPr>
          <w:sz w:val="22"/>
          <w:szCs w:val="22"/>
        </w:rPr>
        <w:t xml:space="preserve">, </w:t>
      </w:r>
      <w:r>
        <w:rPr>
          <w:i/>
          <w:iCs/>
          <w:sz w:val="22"/>
          <w:szCs w:val="22"/>
        </w:rPr>
        <w:t xml:space="preserve">pore space</w:t>
      </w:r>
      <w:r>
        <w:rPr>
          <w:sz w:val="22"/>
          <w:szCs w:val="22"/>
        </w:rPr>
        <w:t xml:space="preserve">, </w:t>
      </w:r>
      <w:r>
        <w:rPr>
          <w:i/>
          <w:iCs/>
          <w:sz w:val="22"/>
          <w:szCs w:val="22"/>
        </w:rPr>
        <w:t xml:space="preserve">vertical exaggeration</w:t>
      </w:r>
      <w:r>
        <w:rPr>
          <w:sz w:val="22"/>
          <w:szCs w:val="22"/>
        </w:rPr>
        <w:t xml:space="preserve">, </w:t>
      </w:r>
      <w:r>
        <w:rPr>
          <w:i/>
          <w:iCs/>
          <w:sz w:val="22"/>
          <w:szCs w:val="22"/>
        </w:rPr>
        <w:t xml:space="preserve">inset</w:t>
      </w:r>
      <w:r>
        <w:rPr>
          <w:sz w:val="22"/>
          <w:szCs w:val="22"/>
        </w:rPr>
        <w:t xml:space="preserve">, and </w:t>
      </w:r>
      <w:r>
        <w:rPr>
          <w:i/>
          <w:iCs/>
          <w:sz w:val="22"/>
          <w:szCs w:val="22"/>
        </w:rPr>
        <w:t xml:space="preserve">tint</w:t>
      </w:r>
      <w:r>
        <w:rPr>
          <w:sz w:val="22"/>
          <w:szCs w:val="22"/>
        </w:rPr>
        <w:t xml:space="preserve"> using a jar of wet sand next to a labeled sketch, so students see that the water sits between the grains. Provide a bilingual glossary card for those terms and for legend, scale bar, and knockout. Offer caption frames such as "The farmhouse well gets its water from ___ because ___" and "The clay layer ___, so the deep well ___." Allow the design memo and the presentation to use the annotated swatch card and short phrases in place of continuous prose.</w:t>
      </w:r>
    </w:p>
    <w:p>
      <w:pPr>
        <w:pStyle w:val="Heading2"/>
        <w:keepNext/>
        <w:keepLines/>
      </w:pPr>
      <w:r>
        <w:rPr>
          <w:sz w:val="28"/>
          <w:szCs w:val="28"/>
        </w:rPr>
        <w:t xml:space="preserve">Extensions</w:t>
      </w:r>
    </w:p>
    <w:p>
      <w:pPr>
        <w:spacing w:after="100" w:line="264"/>
      </w:pPr>
      <w:r>
        <w:rPr>
          <w:sz w:val="22"/>
          <w:szCs w:val="22"/>
        </w:rPr>
        <w:t xml:space="preserve">Add a small key map in one corner of the centerfold, drawn from above, that shows where line A-A' runs across the fictional county between the ridge, the field, and the river. Teams that want a professional comparison can look at a published cross-section from a state geological survey, find its vertical exaggeration statement and its pattern conventions, and write one change they would make if that drawing were going into a guide for well owners. A class with access to drawing software can rebuild the section on separate layers for each ink and test the result with a grayscale preview before printing.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Kessling County Aquifer Cross-Section: A Two-Ink Illustration Project</w:t>
      </w:r>
    </w:p>
    <w:p>
      <w:pPr>
        <w:keepNext/>
        <w:spacing w:after="160"/>
      </w:pPr>
      <w:r>
        <w:rPr>
          <w:color w:val="5B6B70"/>
          <w:sz w:val="20"/>
          <w:szCs w:val="20"/>
        </w:rPr>
        <w:t xml:space="preserve">Grade 10 · Art &amp; Music</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one drawing show a well owner where their water comes from underground, and how things done on the land above can reach it?</w:t>
      </w:r>
    </w:p>
    <w:p>
      <w:pPr>
        <w:spacing w:after="120" w:line="276"/>
      </w:pPr>
      <w:r>
        <w:rPr>
          <w:b/>
          <w:bCs/>
          <w:sz w:val="22"/>
          <w:szCs w:val="22"/>
        </w:rPr>
        <w:t xml:space="preserve">Client.</w:t>
      </w:r>
      <w:r>
        <w:rPr>
          <w:sz w:val="22"/>
          <w:szCs w:val="22"/>
        </w:rPr>
        <w:t xml:space="preserve"> The Kessling County Health Department is a fictional agency. It is printing a fold-out guide called </w:t>
      </w:r>
      <w:r>
        <w:rPr>
          <w:i/>
          <w:iCs/>
          <w:sz w:val="22"/>
          <w:szCs w:val="22"/>
        </w:rPr>
        <w:t xml:space="preserve">Know Your Well</w:t>
      </w:r>
      <w:r>
        <w:rPr>
          <w:sz w:val="22"/>
          <w:szCs w:val="22"/>
        </w:rPr>
        <w:t xml:space="preserve"> for homes that get their water from private wells. Your team will design the centerfold. It is a cross-section, which is a drawing of a slice through the ground, as if the land were cut straight down and you looked at the cut face from the side. The county calls this slice Section A-A'. It runs 12,000 feet from Maddox Ridge (A, the west end) to the Tulley River (A', the east end). A county review panel will hear your presentation in Session 5.</w:t>
      </w:r>
    </w:p>
    <w:p>
      <w:pPr>
        <w:keepNext/>
        <w:keepLines/>
        <w:spacing w:after="120" w:line="276"/>
      </w:pPr>
      <w:r>
        <w:rPr>
          <w:b/>
          <w:bCs/>
          <w:sz w:val="22"/>
          <w:szCs w:val="22"/>
        </w:rPr>
        <w:t xml:space="preserve">County data sheet (fictional).</w:t>
      </w:r>
      <w:r>
        <w:rPr>
          <w:sz w:val="22"/>
          <w:szCs w:val="22"/>
        </w:rPr>
        <w:t xml:space="preserve"> All heights are elevations in feet above sea level. Distances are measured from the west end of the 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99"/>
        <w:gridCol w:w="1299"/>
        <w:gridCol w:w="1299"/>
        <w:gridCol w:w="6183"/>
      </w:tblGrid>
      <w:tr>
        <w:trPr>
          <w:cantSplit/>
          <w:tblHeader/>
        </w:trPr>
        <w:tc>
          <w:tcPr>
            <w:tcW w:type="dxa" w:w="12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Distance from west end (ft)</w:t>
            </w:r>
          </w:p>
        </w:tc>
        <w:tc>
          <w:tcPr>
            <w:tcW w:type="dxa" w:w="12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Ground surface (ft)</w:t>
            </w:r>
          </w:p>
        </w:tc>
        <w:tc>
          <w:tcPr>
            <w:tcW w:type="dxa" w:w="12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table (ft)</w:t>
            </w:r>
          </w:p>
        </w:tc>
        <w:tc>
          <w:tcPr>
            <w:tcW w:type="dxa" w:w="618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is there</w:t>
            </w:r>
          </w:p>
        </w:tc>
      </w:tr>
      <w:tr>
        <w:trPr>
          <w:cantSplit/>
        </w:trPr>
        <w:tc>
          <w:tcPr>
            <w:tcW w:type="dxa" w:w="1299"/>
            <w:tcMar>
              <w:top w:type="dxa" w:w="70"/>
              <w:left w:type="dxa" w:w="100"/>
              <w:bottom w:type="dxa" w:w="70"/>
              <w:right w:type="dxa" w:w="100"/>
            </w:tcMar>
            <w:vAlign w:val="top"/>
          </w:tcPr>
          <w:p>
            <w:pPr>
              <w:keepNext/>
              <w:spacing w:after="0" w:line="252"/>
              <w:jc w:val="left"/>
            </w:pPr>
            <w:r>
              <w:rPr>
                <w:sz w:val="22"/>
                <w:szCs w:val="22"/>
              </w:rPr>
              <w:t xml:space="preserve">0</w:t>
            </w:r>
          </w:p>
        </w:tc>
        <w:tc>
          <w:tcPr>
            <w:tcW w:type="dxa" w:w="1299"/>
            <w:tcMar>
              <w:top w:type="dxa" w:w="70"/>
              <w:left w:type="dxa" w:w="100"/>
              <w:bottom w:type="dxa" w:w="70"/>
              <w:right w:type="dxa" w:w="100"/>
            </w:tcMar>
            <w:vAlign w:val="top"/>
          </w:tcPr>
          <w:p>
            <w:pPr>
              <w:keepNext/>
              <w:spacing w:after="0" w:line="252"/>
              <w:jc w:val="left"/>
            </w:pPr>
            <w:r>
              <w:rPr>
                <w:sz w:val="22"/>
                <w:szCs w:val="22"/>
              </w:rPr>
              <w:t xml:space="preserve">640</w:t>
            </w:r>
          </w:p>
        </w:tc>
        <w:tc>
          <w:tcPr>
            <w:tcW w:type="dxa" w:w="1299"/>
            <w:tcMar>
              <w:top w:type="dxa" w:w="70"/>
              <w:left w:type="dxa" w:w="100"/>
              <w:bottom w:type="dxa" w:w="70"/>
              <w:right w:type="dxa" w:w="100"/>
            </w:tcMar>
            <w:vAlign w:val="top"/>
          </w:tcPr>
          <w:p>
            <w:pPr>
              <w:keepNext/>
              <w:spacing w:after="0" w:line="252"/>
              <w:jc w:val="left"/>
            </w:pPr>
            <w:r>
              <w:rPr>
                <w:sz w:val="22"/>
                <w:szCs w:val="22"/>
              </w:rPr>
              <w:t xml:space="preserve">615</w:t>
            </w:r>
          </w:p>
        </w:tc>
        <w:tc>
          <w:tcPr>
            <w:tcW w:type="dxa" w:w="6183"/>
            <w:tcMar>
              <w:top w:type="dxa" w:w="70"/>
              <w:left w:type="dxa" w:w="100"/>
              <w:bottom w:type="dxa" w:w="70"/>
              <w:right w:type="dxa" w:w="100"/>
            </w:tcMar>
            <w:vAlign w:val="top"/>
          </w:tcPr>
          <w:p>
            <w:pPr>
              <w:keepNext/>
              <w:spacing w:after="0" w:line="252"/>
              <w:jc w:val="left"/>
            </w:pPr>
            <w:r>
              <w:rPr>
                <w:sz w:val="22"/>
                <w:szCs w:val="22"/>
              </w:rPr>
              <w:t xml:space="preserve">Crest of Maddox Ridge</w:t>
            </w:r>
          </w:p>
        </w:tc>
      </w:tr>
      <w:tr>
        <w:trPr>
          <w:cantSplit/>
        </w:trPr>
        <w:tc>
          <w:tcPr>
            <w:tcW w:type="dxa" w:w="1299"/>
            <w:tcMar>
              <w:top w:type="dxa" w:w="70"/>
              <w:left w:type="dxa" w:w="100"/>
              <w:bottom w:type="dxa" w:w="70"/>
              <w:right w:type="dxa" w:w="100"/>
            </w:tcMar>
            <w:vAlign w:val="top"/>
          </w:tcPr>
          <w:p>
            <w:pPr>
              <w:keepNext/>
              <w:spacing w:after="0" w:line="252"/>
              <w:jc w:val="left"/>
            </w:pPr>
            <w:r>
              <w:rPr>
                <w:sz w:val="22"/>
                <w:szCs w:val="22"/>
              </w:rPr>
              <w:t xml:space="preserve">3,000</w:t>
            </w:r>
          </w:p>
        </w:tc>
        <w:tc>
          <w:tcPr>
            <w:tcW w:type="dxa" w:w="1299"/>
            <w:tcMar>
              <w:top w:type="dxa" w:w="70"/>
              <w:left w:type="dxa" w:w="100"/>
              <w:bottom w:type="dxa" w:w="70"/>
              <w:right w:type="dxa" w:w="100"/>
            </w:tcMar>
            <w:vAlign w:val="top"/>
          </w:tcPr>
          <w:p>
            <w:pPr>
              <w:keepNext/>
              <w:spacing w:after="0" w:line="252"/>
              <w:jc w:val="left"/>
            </w:pPr>
            <w:r>
              <w:rPr>
                <w:sz w:val="22"/>
                <w:szCs w:val="22"/>
              </w:rPr>
              <w:t xml:space="preserve">630</w:t>
            </w:r>
          </w:p>
        </w:tc>
        <w:tc>
          <w:tcPr>
            <w:tcW w:type="dxa" w:w="1299"/>
            <w:tcMar>
              <w:top w:type="dxa" w:w="70"/>
              <w:left w:type="dxa" w:w="100"/>
              <w:bottom w:type="dxa" w:w="70"/>
              <w:right w:type="dxa" w:w="100"/>
            </w:tcMar>
            <w:vAlign w:val="top"/>
          </w:tcPr>
          <w:p>
            <w:pPr>
              <w:keepNext/>
              <w:spacing w:after="0" w:line="252"/>
              <w:jc w:val="left"/>
            </w:pPr>
            <w:r>
              <w:rPr>
                <w:sz w:val="22"/>
                <w:szCs w:val="22"/>
              </w:rPr>
              <w:t xml:space="preserve">610</w:t>
            </w:r>
          </w:p>
        </w:tc>
        <w:tc>
          <w:tcPr>
            <w:tcW w:type="dxa" w:w="6183"/>
            <w:tcMar>
              <w:top w:type="dxa" w:w="70"/>
              <w:left w:type="dxa" w:w="100"/>
              <w:bottom w:type="dxa" w:w="70"/>
              <w:right w:type="dxa" w:w="100"/>
            </w:tcMar>
            <w:vAlign w:val="top"/>
          </w:tcPr>
          <w:p>
            <w:pPr>
              <w:keepNext/>
              <w:spacing w:after="0" w:line="252"/>
              <w:jc w:val="left"/>
            </w:pPr>
            <w:r>
              <w:rPr>
                <w:sz w:val="22"/>
                <w:szCs w:val="22"/>
              </w:rPr>
              <w:t xml:space="preserve">Farmhouse and its shallow well; septic drain field 150 ft to the west</w:t>
            </w:r>
          </w:p>
        </w:tc>
      </w:tr>
      <w:tr>
        <w:trPr>
          <w:cantSplit/>
        </w:trPr>
        <w:tc>
          <w:tcPr>
            <w:tcW w:type="dxa" w:w="1299"/>
            <w:tcMar>
              <w:top w:type="dxa" w:w="70"/>
              <w:left w:type="dxa" w:w="100"/>
              <w:bottom w:type="dxa" w:w="70"/>
              <w:right w:type="dxa" w:w="100"/>
            </w:tcMar>
            <w:vAlign w:val="top"/>
          </w:tcPr>
          <w:p>
            <w:pPr>
              <w:keepNext/>
              <w:spacing w:after="0" w:line="252"/>
              <w:jc w:val="left"/>
            </w:pPr>
            <w:r>
              <w:rPr>
                <w:sz w:val="22"/>
                <w:szCs w:val="22"/>
              </w:rPr>
              <w:t xml:space="preserve">6,000</w:t>
            </w:r>
          </w:p>
        </w:tc>
        <w:tc>
          <w:tcPr>
            <w:tcW w:type="dxa" w:w="1299"/>
            <w:tcMar>
              <w:top w:type="dxa" w:w="70"/>
              <w:left w:type="dxa" w:w="100"/>
              <w:bottom w:type="dxa" w:w="70"/>
              <w:right w:type="dxa" w:w="100"/>
            </w:tcMar>
            <w:vAlign w:val="top"/>
          </w:tcPr>
          <w:p>
            <w:pPr>
              <w:keepNext/>
              <w:spacing w:after="0" w:line="252"/>
              <w:jc w:val="left"/>
            </w:pPr>
            <w:r>
              <w:rPr>
                <w:sz w:val="22"/>
                <w:szCs w:val="22"/>
              </w:rPr>
              <w:t xml:space="preserve">620</w:t>
            </w:r>
          </w:p>
        </w:tc>
        <w:tc>
          <w:tcPr>
            <w:tcW w:type="dxa" w:w="1299"/>
            <w:tcMar>
              <w:top w:type="dxa" w:w="70"/>
              <w:left w:type="dxa" w:w="100"/>
              <w:bottom w:type="dxa" w:w="70"/>
              <w:right w:type="dxa" w:w="100"/>
            </w:tcMar>
            <w:vAlign w:val="top"/>
          </w:tcPr>
          <w:p>
            <w:pPr>
              <w:keepNext/>
              <w:spacing w:after="0" w:line="252"/>
              <w:jc w:val="left"/>
            </w:pPr>
            <w:r>
              <w:rPr>
                <w:sz w:val="22"/>
                <w:szCs w:val="22"/>
              </w:rPr>
              <w:t xml:space="preserve">605</w:t>
            </w:r>
          </w:p>
        </w:tc>
        <w:tc>
          <w:tcPr>
            <w:tcW w:type="dxa" w:w="6183"/>
            <w:tcMar>
              <w:top w:type="dxa" w:w="70"/>
              <w:left w:type="dxa" w:w="100"/>
              <w:bottom w:type="dxa" w:w="70"/>
              <w:right w:type="dxa" w:w="100"/>
            </w:tcMar>
            <w:vAlign w:val="top"/>
          </w:tcPr>
          <w:p>
            <w:pPr>
              <w:keepNext/>
              <w:spacing w:after="0" w:line="252"/>
              <w:jc w:val="left"/>
            </w:pPr>
            <w:r>
              <w:rPr>
                <w:sz w:val="22"/>
                <w:szCs w:val="22"/>
              </w:rPr>
              <w:t xml:space="preserve">Middle of a cornfield that runs from 4,000 to 7,500 ft</w:t>
            </w:r>
          </w:p>
        </w:tc>
      </w:tr>
      <w:tr>
        <w:trPr>
          <w:cantSplit/>
        </w:trPr>
        <w:tc>
          <w:tcPr>
            <w:tcW w:type="dxa" w:w="1299"/>
            <w:tcMar>
              <w:top w:type="dxa" w:w="70"/>
              <w:left w:type="dxa" w:w="100"/>
              <w:bottom w:type="dxa" w:w="70"/>
              <w:right w:type="dxa" w:w="100"/>
            </w:tcMar>
            <w:vAlign w:val="top"/>
          </w:tcPr>
          <w:p>
            <w:pPr>
              <w:keepNext/>
              <w:spacing w:after="0" w:line="252"/>
              <w:jc w:val="left"/>
            </w:pPr>
            <w:r>
              <w:rPr>
                <w:sz w:val="22"/>
                <w:szCs w:val="22"/>
              </w:rPr>
              <w:t xml:space="preserve">9,000</w:t>
            </w:r>
          </w:p>
        </w:tc>
        <w:tc>
          <w:tcPr>
            <w:tcW w:type="dxa" w:w="1299"/>
            <w:tcMar>
              <w:top w:type="dxa" w:w="70"/>
              <w:left w:type="dxa" w:w="100"/>
              <w:bottom w:type="dxa" w:w="70"/>
              <w:right w:type="dxa" w:w="100"/>
            </w:tcMar>
            <w:vAlign w:val="top"/>
          </w:tcPr>
          <w:p>
            <w:pPr>
              <w:keepNext/>
              <w:spacing w:after="0" w:line="252"/>
              <w:jc w:val="left"/>
            </w:pPr>
            <w:r>
              <w:rPr>
                <w:sz w:val="22"/>
                <w:szCs w:val="22"/>
              </w:rPr>
              <w:t xml:space="preserve">610</w:t>
            </w:r>
          </w:p>
        </w:tc>
        <w:tc>
          <w:tcPr>
            <w:tcW w:type="dxa" w:w="1299"/>
            <w:tcMar>
              <w:top w:type="dxa" w:w="70"/>
              <w:left w:type="dxa" w:w="100"/>
              <w:bottom w:type="dxa" w:w="70"/>
              <w:right w:type="dxa" w:w="100"/>
            </w:tcMar>
            <w:vAlign w:val="top"/>
          </w:tcPr>
          <w:p>
            <w:pPr>
              <w:keepNext/>
              <w:spacing w:after="0" w:line="252"/>
              <w:jc w:val="left"/>
            </w:pPr>
            <w:r>
              <w:rPr>
                <w:sz w:val="22"/>
                <w:szCs w:val="22"/>
              </w:rPr>
              <w:t xml:space="preserve">600</w:t>
            </w:r>
          </w:p>
        </w:tc>
        <w:tc>
          <w:tcPr>
            <w:tcW w:type="dxa" w:w="6183"/>
            <w:tcMar>
              <w:top w:type="dxa" w:w="70"/>
              <w:left w:type="dxa" w:w="100"/>
              <w:bottom w:type="dxa" w:w="70"/>
              <w:right w:type="dxa" w:w="100"/>
            </w:tcMar>
            <w:vAlign w:val="top"/>
          </w:tcPr>
          <w:p>
            <w:pPr>
              <w:keepNext/>
              <w:spacing w:after="0" w:line="252"/>
              <w:jc w:val="left"/>
            </w:pPr>
            <w:r>
              <w:rPr>
                <w:sz w:val="22"/>
                <w:szCs w:val="22"/>
              </w:rPr>
              <w:t xml:space="preserve">Newer house and its deep well</w:t>
            </w:r>
          </w:p>
        </w:tc>
      </w:tr>
      <w:tr>
        <w:trPr>
          <w:cantSplit/>
        </w:trPr>
        <w:tc>
          <w:tcPr>
            <w:tcW w:type="dxa" w:w="1299"/>
            <w:tcMar>
              <w:top w:type="dxa" w:w="70"/>
              <w:left w:type="dxa" w:w="100"/>
              <w:bottom w:type="dxa" w:w="70"/>
              <w:right w:type="dxa" w:w="100"/>
            </w:tcMar>
            <w:vAlign w:val="top"/>
          </w:tcPr>
          <w:p>
            <w:pPr>
              <w:spacing w:after="0" w:line="252"/>
              <w:jc w:val="left"/>
            </w:pPr>
            <w:r>
              <w:rPr>
                <w:sz w:val="22"/>
                <w:szCs w:val="22"/>
              </w:rPr>
              <w:t xml:space="preserve">12,000</w:t>
            </w:r>
          </w:p>
        </w:tc>
        <w:tc>
          <w:tcPr>
            <w:tcW w:type="dxa" w:w="1299"/>
            <w:tcMar>
              <w:top w:type="dxa" w:w="70"/>
              <w:left w:type="dxa" w:w="100"/>
              <w:bottom w:type="dxa" w:w="70"/>
              <w:right w:type="dxa" w:w="100"/>
            </w:tcMar>
            <w:vAlign w:val="top"/>
          </w:tcPr>
          <w:p>
            <w:pPr>
              <w:spacing w:after="0" w:line="252"/>
              <w:jc w:val="left"/>
            </w:pPr>
            <w:r>
              <w:rPr>
                <w:sz w:val="22"/>
                <w:szCs w:val="22"/>
              </w:rPr>
              <w:t xml:space="preserve">600</w:t>
            </w:r>
          </w:p>
        </w:tc>
        <w:tc>
          <w:tcPr>
            <w:tcW w:type="dxa" w:w="1299"/>
            <w:tcMar>
              <w:top w:type="dxa" w:w="70"/>
              <w:left w:type="dxa" w:w="100"/>
              <w:bottom w:type="dxa" w:w="70"/>
              <w:right w:type="dxa" w:w="100"/>
            </w:tcMar>
            <w:vAlign w:val="top"/>
          </w:tcPr>
          <w:p>
            <w:pPr>
              <w:spacing w:after="0" w:line="252"/>
              <w:jc w:val="left"/>
            </w:pPr>
            <w:r>
              <w:rPr>
                <w:sz w:val="22"/>
                <w:szCs w:val="22"/>
              </w:rPr>
              <w:t xml:space="preserve">595</w:t>
            </w:r>
          </w:p>
        </w:tc>
        <w:tc>
          <w:tcPr>
            <w:tcW w:type="dxa" w:w="6183"/>
            <w:tcMar>
              <w:top w:type="dxa" w:w="70"/>
              <w:left w:type="dxa" w:w="100"/>
              <w:bottom w:type="dxa" w:w="70"/>
              <w:right w:type="dxa" w:w="100"/>
            </w:tcMar>
            <w:vAlign w:val="top"/>
          </w:tcPr>
          <w:p>
            <w:pPr>
              <w:spacing w:after="0" w:line="252"/>
              <w:jc w:val="left"/>
            </w:pPr>
            <w:r>
              <w:rPr>
                <w:sz w:val="22"/>
                <w:szCs w:val="22"/>
              </w:rPr>
              <w:t xml:space="preserve">Bank of the Tulley River; the river surface is at 595 ft and its bed at 588 ft</w:t>
            </w:r>
          </w:p>
        </w:tc>
      </w:tr>
    </w:tbl>
    <w:p>
      <w:pPr>
        <w:spacing w:after="160" w:before="0"/>
      </w:pPr>
    </w:p>
    <w:p>
      <w:pPr>
        <w:keepNext/>
        <w:keepLines/>
        <w:spacing w:after="120" w:line="276"/>
      </w:pPr>
      <w:r>
        <w:rPr>
          <w:sz w:val="22"/>
          <w:szCs w:val="22"/>
        </w:rPr>
        <w:t xml:space="preserve">The ground surface and the water table both slope evenly between the stations in the table. The layers below lie flat and are the same all along the line.</w:t>
      </w:r>
    </w:p>
    <w:p>
      <w:pPr>
        <w:pStyle w:val="ListParagraph"/>
        <w:keepNext/>
        <w:keepLines/>
        <w:numPr>
          <w:ilvl w:val="0"/>
          <w:numId w:val="3"/>
        </w:numPr>
        <w:spacing w:after="60" w:line="276"/>
        <w:ind w:left="720" w:hanging="360"/>
      </w:pPr>
      <w:r>
        <w:rPr>
          <w:b/>
          <w:bCs/>
          <w:sz w:val="22"/>
          <w:szCs w:val="22"/>
        </w:rPr>
        <w:t xml:space="preserve">Soil:</w:t>
      </w:r>
      <w:r>
        <w:rPr>
          <w:sz w:val="22"/>
          <w:szCs w:val="22"/>
        </w:rPr>
        <w:t xml:space="preserve"> about 3 feet thick on top of the sand and gravel. It is too thin to draw at section scale, so your team decides how to show it.</w:t>
      </w:r>
    </w:p>
    <w:p>
      <w:pPr>
        <w:pStyle w:val="ListParagraph"/>
        <w:keepNext/>
        <w:keepLines/>
        <w:numPr>
          <w:ilvl w:val="0"/>
          <w:numId w:val="3"/>
        </w:numPr>
        <w:spacing w:after="60" w:line="276"/>
        <w:ind w:left="720" w:hanging="360"/>
      </w:pPr>
      <w:r>
        <w:rPr>
          <w:b/>
          <w:bCs/>
          <w:sz w:val="22"/>
          <w:szCs w:val="22"/>
        </w:rPr>
        <w:t xml:space="preserve">Sand and gravel:</w:t>
      </w:r>
      <w:r>
        <w:rPr>
          <w:sz w:val="22"/>
          <w:szCs w:val="22"/>
        </w:rPr>
        <w:t xml:space="preserve"> from the ground surface down to 560 feet. This is the upper aquifer. Below the water table, the spaces between its grains are full of water.</w:t>
      </w:r>
    </w:p>
    <w:p>
      <w:pPr>
        <w:pStyle w:val="ListParagraph"/>
        <w:keepNext/>
        <w:keepLines/>
        <w:numPr>
          <w:ilvl w:val="0"/>
          <w:numId w:val="3"/>
        </w:numPr>
        <w:spacing w:after="60" w:line="276"/>
        <w:ind w:left="720" w:hanging="360"/>
      </w:pPr>
      <w:r>
        <w:rPr>
          <w:b/>
          <w:bCs/>
          <w:sz w:val="22"/>
          <w:szCs w:val="22"/>
        </w:rPr>
        <w:t xml:space="preserve">Clay:</w:t>
      </w:r>
      <w:r>
        <w:rPr>
          <w:sz w:val="22"/>
          <w:szCs w:val="22"/>
        </w:rPr>
        <w:t xml:space="preserve"> from 560 feet down to 540 feet. Clay holds water in very tiny pores but lets it pass through very slowly, so it acts as a confining layer.</w:t>
      </w:r>
    </w:p>
    <w:p>
      <w:pPr>
        <w:pStyle w:val="ListParagraph"/>
        <w:keepNext/>
        <w:keepLines/>
        <w:numPr>
          <w:ilvl w:val="0"/>
          <w:numId w:val="3"/>
        </w:numPr>
        <w:spacing w:after="60" w:line="276"/>
        <w:ind w:left="720" w:hanging="360"/>
      </w:pPr>
      <w:r>
        <w:rPr>
          <w:b/>
          <w:bCs/>
          <w:sz w:val="22"/>
          <w:szCs w:val="22"/>
        </w:rPr>
        <w:t xml:space="preserve">Sandstone:</w:t>
      </w:r>
      <w:r>
        <w:rPr>
          <w:sz w:val="22"/>
          <w:szCs w:val="22"/>
        </w:rPr>
        <w:t xml:space="preserve"> from 540 feet down to 400 feet. This is the lower aquifer. Water fills the pores and small cracks in the rock.</w:t>
      </w:r>
    </w:p>
    <w:p>
      <w:pPr>
        <w:pStyle w:val="ListParagraph"/>
        <w:keepLines/>
        <w:numPr>
          <w:ilvl w:val="0"/>
          <w:numId w:val="3"/>
        </w:numPr>
        <w:spacing w:after="60" w:line="276"/>
        <w:ind w:left="720" w:hanging="360"/>
      </w:pPr>
      <w:r>
        <w:rPr>
          <w:b/>
          <w:bCs/>
          <w:sz w:val="22"/>
          <w:szCs w:val="22"/>
        </w:rPr>
        <w:t xml:space="preserve">Shale bedrock:</w:t>
      </w:r>
      <w:r>
        <w:rPr>
          <w:sz w:val="22"/>
          <w:szCs w:val="22"/>
        </w:rPr>
        <w:t xml:space="preserve"> below 400 feet. Show it down to 370 feet, which is the bottom of the section.</w:t>
      </w:r>
    </w:p>
    <w:p>
      <w:pPr>
        <w:spacing w:after="40" w:before="0" w:line="120" w:lineRule="exact"/>
      </w:pPr>
    </w:p>
    <w:p>
      <w:pPr>
        <w:spacing w:after="120" w:line="276"/>
      </w:pPr>
      <w:r>
        <w:rPr>
          <w:sz w:val="22"/>
          <w:szCs w:val="22"/>
        </w:rPr>
        <w:t xml:space="preserve">The farmhouse well is 50 feet deep. Its screen, the slotted part that lets water in, is the lowest 20 feet of the well, so it draws from the sand and gravel. The newer house's well is 150 feet deep. Steel casing sealed on the outside runs from the surface to 110 feet deep, and the screen runs from 110 to 150 feet, so it draws from the sandstone. Groundwater in both aquifers moves from west to east, toward the river.</w:t>
      </w:r>
    </w:p>
    <w:p>
      <w:pPr>
        <w:keepNext/>
        <w:keepLines/>
        <w:spacing w:after="120" w:line="276"/>
      </w:pPr>
      <w:r>
        <w:rPr>
          <w:b/>
          <w:bCs/>
          <w:sz w:val="22"/>
          <w:szCs w:val="22"/>
        </w:rPr>
        <w:t xml:space="preserve">Constraints.</w:t>
      </w:r>
    </w:p>
    <w:p>
      <w:pPr>
        <w:pStyle w:val="ListParagraph"/>
        <w:keepLines/>
        <w:numPr>
          <w:ilvl w:val="0"/>
          <w:numId w:val="4"/>
        </w:numPr>
        <w:spacing w:after="60" w:line="276"/>
        <w:ind w:left="720" w:hanging="360"/>
      </w:pPr>
      <w:r>
        <w:rPr>
          <w:sz w:val="22"/>
          <w:szCs w:val="22"/>
        </w:rPr>
        <w:t xml:space="preserve">Paper: one tabloid sheet, 17 inches wide by 11 inches tall, turned sideways.</w:t>
      </w:r>
    </w:p>
    <w:p>
      <w:pPr>
        <w:pStyle w:val="ListParagraph"/>
        <w:keepLines/>
        <w:numPr>
          <w:ilvl w:val="0"/>
          <w:numId w:val="4"/>
        </w:numPr>
        <w:spacing w:after="60" w:line="276"/>
        <w:ind w:left="720" w:hanging="360"/>
      </w:pPr>
      <w:r>
        <w:rPr>
          <w:sz w:val="22"/>
          <w:szCs w:val="22"/>
        </w:rPr>
        <w:t xml:space="preserve">Main frame: exactly 12 inches wide and 6 inches tall. The 12,000-foot line fills the full width, so the horizontal scale is 1 inch = 1,000 feet.</w:t>
      </w:r>
    </w:p>
    <w:p>
      <w:pPr>
        <w:pStyle w:val="ListParagraph"/>
        <w:keepLines/>
        <w:numPr>
          <w:ilvl w:val="0"/>
          <w:numId w:val="4"/>
        </w:numPr>
        <w:spacing w:after="60" w:line="276"/>
        <w:ind w:left="720" w:hanging="360"/>
      </w:pPr>
      <w:r>
        <w:rPr>
          <w:sz w:val="22"/>
          <w:szCs w:val="22"/>
        </w:rPr>
        <w:t xml:space="preserve">Room above ground: leave at least 1.5 inches between the highest ground point and the top of the frame for the houses, the field, trees, and labels.</w:t>
      </w:r>
    </w:p>
    <w:p>
      <w:pPr>
        <w:pStyle w:val="ListParagraph"/>
        <w:keepLines/>
        <w:numPr>
          <w:ilvl w:val="0"/>
          <w:numId w:val="4"/>
        </w:numPr>
        <w:spacing w:after="60" w:line="276"/>
        <w:ind w:left="720" w:hanging="360"/>
      </w:pPr>
      <w:r>
        <w:rPr>
          <w:sz w:val="22"/>
          <w:szCs w:val="22"/>
        </w:rPr>
        <w:t xml:space="preserve">Thinnest layer: the clay must print at least 1/4 inch tall so its pattern can be read.</w:t>
      </w:r>
    </w:p>
    <w:p>
      <w:pPr>
        <w:pStyle w:val="ListParagraph"/>
        <w:keepLines/>
        <w:numPr>
          <w:ilvl w:val="0"/>
          <w:numId w:val="4"/>
        </w:numPr>
        <w:spacing w:after="60" w:line="276"/>
        <w:ind w:left="720" w:hanging="360"/>
      </w:pPr>
      <w:r>
        <w:rPr>
          <w:sz w:val="22"/>
          <w:szCs w:val="22"/>
        </w:rPr>
        <w:t xml:space="preserve">Two inks only: black and one blue. You may use lighter tints of each and overlap them. No other colors are allowed.</w:t>
      </w:r>
    </w:p>
    <w:p>
      <w:pPr>
        <w:pStyle w:val="ListParagraph"/>
        <w:keepLines/>
        <w:numPr>
          <w:ilvl w:val="0"/>
          <w:numId w:val="4"/>
        </w:numPr>
        <w:spacing w:after="60" w:line="276"/>
        <w:ind w:left="720" w:hanging="360"/>
      </w:pPr>
      <w:r>
        <w:rPr>
          <w:sz w:val="22"/>
          <w:szCs w:val="22"/>
        </w:rPr>
        <w:t xml:space="preserve">Photocopy test: some county offices copy the guide in black and white, so every layer must still be easy to tell apart in a gray copy.</w:t>
      </w:r>
    </w:p>
    <w:p>
      <w:pPr>
        <w:pStyle w:val="ListParagraph"/>
        <w:keepLines/>
        <w:numPr>
          <w:ilvl w:val="0"/>
          <w:numId w:val="4"/>
        </w:numPr>
        <w:spacing w:after="60" w:line="276"/>
        <w:ind w:left="720" w:hanging="360"/>
      </w:pPr>
      <w:r>
        <w:rPr>
          <w:sz w:val="22"/>
          <w:szCs w:val="22"/>
        </w:rPr>
        <w:t xml:space="preserve">Water in pores: show the water in each aquifer as blue tint running through the grain pattern. Do not fill an aquifer with flat, solid blue.</w:t>
      </w:r>
    </w:p>
    <w:p>
      <w:pPr>
        <w:pStyle w:val="ListParagraph"/>
        <w:keepLines/>
        <w:numPr>
          <w:ilvl w:val="0"/>
          <w:numId w:val="4"/>
        </w:numPr>
        <w:spacing w:after="60" w:line="276"/>
        <w:ind w:left="720" w:hanging="360"/>
      </w:pPr>
      <w:r>
        <w:rPr>
          <w:sz w:val="22"/>
          <w:szCs w:val="22"/>
        </w:rPr>
        <w:t xml:space="preserve">Inset: the farmhouse well and the drain field are 150 feet apart, which is only 0.15 inch at section scale. Show them in one inset box no larger than 4 inches wide and 3 inches tall. Draw it at a larger scale, give it its own scale bar, and put a locator mark on the main section.</w:t>
      </w:r>
    </w:p>
    <w:p>
      <w:pPr>
        <w:pStyle w:val="ListParagraph"/>
        <w:keepLines/>
        <w:numPr>
          <w:ilvl w:val="0"/>
          <w:numId w:val="4"/>
        </w:numPr>
        <w:spacing w:after="60" w:line="276"/>
        <w:ind w:left="720" w:hanging="360"/>
      </w:pPr>
      <w:r>
        <w:rPr>
          <w:sz w:val="22"/>
          <w:szCs w:val="22"/>
        </w:rPr>
        <w:t xml:space="preserve">Lettering: labels at least 1/8 inch tall and the title at least 1/2 inch tall. A label that crosses a pattern needs a knockout, which is a small clear patch behind the words, or a leader line out to open space.</w:t>
      </w:r>
    </w:p>
    <w:p>
      <w:pPr>
        <w:pStyle w:val="ListParagraph"/>
        <w:keepLines/>
        <w:numPr>
          <w:ilvl w:val="0"/>
          <w:numId w:val="4"/>
        </w:numPr>
        <w:spacing w:after="60" w:line="276"/>
        <w:ind w:left="720" w:hanging="360"/>
      </w:pPr>
      <w:r>
        <w:rPr>
          <w:sz w:val="22"/>
          <w:szCs w:val="22"/>
        </w:rPr>
        <w:t xml:space="preserve">Captions: exactly three, and each one 40 words or fewer.</w:t>
      </w:r>
    </w:p>
    <w:p>
      <w:pPr>
        <w:pStyle w:val="ListParagraph"/>
        <w:keepLines/>
        <w:numPr>
          <w:ilvl w:val="0"/>
          <w:numId w:val="4"/>
        </w:numPr>
        <w:spacing w:after="60" w:line="276"/>
        <w:ind w:left="720" w:hanging="360"/>
      </w:pPr>
      <w:r>
        <w:rPr>
          <w:sz w:val="22"/>
          <w:szCs w:val="22"/>
        </w:rPr>
        <w:t xml:space="preserve">Required marks: A and A', west and east, a horizontal scale bar, a vertical scale or elevation axis, and a line in the form "Vertical exaggeration: N times."</w:t>
      </w:r>
    </w:p>
    <w:p>
      <w:pPr>
        <w:spacing w:after="40" w:before="0" w:line="120" w:lineRule="exact"/>
      </w:pPr>
    </w:p>
    <w:p>
      <w:pPr>
        <w:spacing w:after="120" w:line="276"/>
      </w:pPr>
      <w:r>
        <w:rPr>
          <w:b/>
          <w:bCs/>
          <w:sz w:val="22"/>
          <w:szCs w:val="22"/>
        </w:rPr>
        <w:t xml:space="preserve">Final deliverable.</w:t>
      </w:r>
      <w:r>
        <w:rPr>
          <w:sz w:val="22"/>
          <w:szCs w:val="22"/>
        </w:rPr>
        <w:t xml:space="preserve"> Turn in three things to the fictional review panel. The first is the finished centerfold on the tabloid sheet, with the main section, the inset, a legend, the scale marks, a title, and the three captions. The second is a one-page design memo that states your vertical scale, vertical exaggeration, and vertical origin, and reports what your photocopy test showed. The third is a three-minute team presentation.</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the data and the reader.</w:t>
      </w:r>
      <w:r>
        <w:rPr>
          <w:sz w:val="22"/>
          <w:szCs w:val="22"/>
        </w:rPr>
        <w:t xml:space="preserve"> Read the data sheet as a team. On scrap paper, draw a 12-inch strip of the section at true scale, where 1 inch = 1,000 feet both across and down. Mark where the ground surface and the clay layer fall, and write one sentence about what the strip shows. Then list six things a well owner must be able to find in the finished drawing, ranked from most to least important. Output: the true-scale strip and the ranked list.</w:t>
      </w:r>
    </w:p>
    <w:p>
      <w:pPr>
        <w:pStyle w:val="ListParagraph"/>
        <w:keepLines/>
        <w:numPr>
          <w:ilvl w:val="0"/>
          <w:numId w:val="5"/>
        </w:numPr>
        <w:spacing w:after="60" w:line="276"/>
        <w:ind w:left="720" w:hanging="360"/>
      </w:pPr>
      <w:r>
        <w:rPr>
          <w:b/>
          <w:bCs/>
          <w:sz w:val="22"/>
          <w:szCs w:val="22"/>
        </w:rPr>
        <w:t xml:space="preserve">Session 2, scale, exaggeration, and origin.</w:t>
      </w:r>
      <w:r>
        <w:rPr>
          <w:sz w:val="22"/>
          <w:szCs w:val="22"/>
        </w:rPr>
        <w:t xml:space="preserve"> Find the range of vertical scales that meets both the frame rule and the clay rule. Choose one scale in that range. Divide the horizontal feet per inch by your vertical feet per inch to find the vertical exaggeration. Next, choose the origin for your vertical axis. You can label elevation above sea level, or you can label depth below the ground at one named point. Write down one scale you rejected and your reason. Output: a scale decision sheet, plus a pencil layout on tracing paper that places every layer boundary, the water table, both wells, the field, and the river at your chosen scale.</w:t>
      </w:r>
    </w:p>
    <w:p>
      <w:pPr>
        <w:pStyle w:val="ListParagraph"/>
        <w:keepLines/>
        <w:numPr>
          <w:ilvl w:val="0"/>
          <w:numId w:val="5"/>
        </w:numPr>
        <w:spacing w:after="60" w:line="276"/>
        <w:ind w:left="720" w:hanging="360"/>
      </w:pPr>
      <w:r>
        <w:rPr>
          <w:b/>
          <w:bCs/>
          <w:sz w:val="22"/>
          <w:szCs w:val="22"/>
        </w:rPr>
        <w:t xml:space="preserve">Session 3, the two-ink pattern system.</w:t>
      </w:r>
      <w:r>
        <w:rPr>
          <w:sz w:val="22"/>
          <w:szCs w:val="22"/>
        </w:rPr>
        <w:t xml:space="preserve"> Design a swatch for each of the four layers. Show how the water-filled part of each aquifer differs from the dry sand and gravel above the water table. Also design line styles for the ground surface, the water table, well casing, well screens, and flow arrows. Draw every swatch at least 1 inch square on one card. Photocopy the card in black and white, or photograph it in grayscale, and view the copy from about 6 feet away. Revise any two swatches that blend together. Output: the original card, the gray copy, and a note on each change.</w:t>
      </w:r>
    </w:p>
    <w:p>
      <w:pPr>
        <w:pStyle w:val="ListParagraph"/>
        <w:keepLines/>
        <w:numPr>
          <w:ilvl w:val="0"/>
          <w:numId w:val="5"/>
        </w:numPr>
        <w:spacing w:after="60" w:line="276"/>
        <w:ind w:left="720" w:hanging="360"/>
      </w:pPr>
      <w:r>
        <w:rPr>
          <w:b/>
          <w:bCs/>
          <w:sz w:val="22"/>
          <w:szCs w:val="22"/>
        </w:rPr>
        <w:t xml:space="preserve">Session 4, full-size draft and the well-owner test.</w:t>
      </w:r>
      <w:r>
        <w:rPr>
          <w:sz w:val="22"/>
          <w:szCs w:val="22"/>
        </w:rPr>
        <w:t xml:space="preserve"> Move your layout onto the tabloid sheet and ink the main section and the inset. Add the legend, the scale marks, A and A', and all labels. Then trade drafts with another team. A reviewer from that team gets 60 seconds to find the water that feeds the farmhouse well, the clay layer, and the direction groundwater moves, and marks anything they could not find. Output: the inked draft and the reviewer's marked sheet.</w:t>
      </w:r>
    </w:p>
    <w:p>
      <w:pPr>
        <w:pStyle w:val="ListParagraph"/>
        <w:keepLines/>
        <w:numPr>
          <w:ilvl w:val="0"/>
          <w:numId w:val="5"/>
        </w:numPr>
        <w:spacing w:after="60" w:line="276"/>
        <w:ind w:left="720" w:hanging="360"/>
      </w:pPr>
      <w:r>
        <w:rPr>
          <w:b/>
          <w:bCs/>
          <w:sz w:val="22"/>
          <w:szCs w:val="22"/>
        </w:rPr>
        <w:t xml:space="preserve">Session 5, captions, revision, and the panel.</w:t>
      </w:r>
      <w:r>
        <w:rPr>
          <w:sz w:val="22"/>
          <w:szCs w:val="22"/>
        </w:rPr>
        <w:t xml:space="preserve"> Write the three captions. The first explains where the farmhouse well gets its water. The second explains what the clay layer does and where the deep well draws from. The third explains how water from the drain field can reach the farmhouse well. Fix what the reviewer marked, finish the design memo, and present to the review panel. In the presentation, name one choice your team made to help the well owner read the drawing, even though it bends true scale, and explain it. Output: the final centerfold, the memo, and the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Kessling County Aquifer Cross-Section: A Two-Ink Illustration Project</w:t>
      </w:r>
    </w:p>
    <w:p>
      <w:pPr>
        <w:keepNext/>
        <w:spacing w:after="160"/>
      </w:pPr>
      <w:r>
        <w:rPr>
          <w:color w:val="5B6B70"/>
          <w:sz w:val="20"/>
          <w:szCs w:val="20"/>
        </w:rPr>
        <w:t xml:space="preserve">Project · Grade 10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3015"/>
        <w:gridCol w:w="3015"/>
        <w:gridCol w:w="3015"/>
        <w:gridCol w:w="3023"/>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0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0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Scale, exaggeration, and origin</w:t>
            </w:r>
          </w:p>
        </w:tc>
        <w:tc>
          <w:tcPr>
            <w:tcW w:type="dxa" w:w="3015"/>
            <w:tcMar>
              <w:top w:type="dxa" w:w="70"/>
              <w:left w:type="dxa" w:w="100"/>
              <w:bottom w:type="dxa" w:w="70"/>
              <w:right w:type="dxa" w:w="100"/>
            </w:tcMar>
            <w:vAlign w:val="top"/>
          </w:tcPr>
          <w:p>
            <w:pPr>
              <w:spacing w:after="0" w:line="252"/>
              <w:jc w:val="left"/>
            </w:pPr>
            <w:r>
              <w:rPr>
                <w:sz w:val="20"/>
                <w:szCs w:val="20"/>
              </w:rPr>
              <w:t xml:space="preserve">No vertical scale is stated, or the section does not fit the frame.</w:t>
            </w:r>
          </w:p>
        </w:tc>
        <w:tc>
          <w:tcPr>
            <w:tcW w:type="dxa" w:w="3015"/>
            <w:tcMar>
              <w:top w:type="dxa" w:w="70"/>
              <w:left w:type="dxa" w:w="100"/>
              <w:bottom w:type="dxa" w:w="70"/>
              <w:right w:type="dxa" w:w="100"/>
            </w:tcMar>
            <w:vAlign w:val="top"/>
          </w:tcPr>
          <w:p>
            <w:pPr>
              <w:spacing w:after="0" w:line="252"/>
              <w:jc w:val="left"/>
            </w:pPr>
            <w:r>
              <w:rPr>
                <w:sz w:val="20"/>
                <w:szCs w:val="20"/>
              </w:rPr>
              <w:t xml:space="preserve">A vertical scale is stated, yet it breaks the frame rule or the clay rule, or the exaggeration is missing or miscomputed.</w:t>
            </w:r>
          </w:p>
        </w:tc>
        <w:tc>
          <w:tcPr>
            <w:tcW w:type="dxa" w:w="3015"/>
            <w:tcMar>
              <w:top w:type="dxa" w:w="70"/>
              <w:left w:type="dxa" w:w="100"/>
              <w:bottom w:type="dxa" w:w="70"/>
              <w:right w:type="dxa" w:w="100"/>
            </w:tcMar>
            <w:vAlign w:val="top"/>
          </w:tcPr>
          <w:p>
            <w:pPr>
              <w:spacing w:after="0" w:line="252"/>
              <w:jc w:val="left"/>
            </w:pPr>
            <w:r>
              <w:rPr>
                <w:sz w:val="20"/>
                <w:szCs w:val="20"/>
              </w:rPr>
              <w:t xml:space="preserve">The vertical scale falls between 1 inch = 60 feet and 1 inch = 80 feet, the exaggeration is computed correctly and printed on the figure, and the vertical origin is labeled.</w:t>
            </w:r>
          </w:p>
        </w:tc>
        <w:tc>
          <w:tcPr>
            <w:tcW w:type="dxa" w:w="3023"/>
            <w:tcMar>
              <w:top w:type="dxa" w:w="70"/>
              <w:left w:type="dxa" w:w="100"/>
              <w:bottom w:type="dxa" w:w="70"/>
              <w:right w:type="dxa" w:w="100"/>
            </w:tcMar>
            <w:vAlign w:val="top"/>
          </w:tcPr>
          <w:p>
            <w:pPr>
              <w:spacing w:after="0" w:line="252"/>
              <w:jc w:val="left"/>
            </w:pPr>
            <w:r>
              <w:rPr>
                <w:sz w:val="20"/>
                <w:szCs w:val="20"/>
              </w:rPr>
              <w:t xml:space="preserve">All of Proficient, and the memo explains how the chosen exaggeration changes the apparent slope of the ground and why the team accepted that tradeoff.</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Two-ink pattern and tint system</w:t>
            </w:r>
          </w:p>
        </w:tc>
        <w:tc>
          <w:tcPr>
            <w:tcW w:type="dxa" w:w="3015"/>
            <w:tcMar>
              <w:top w:type="dxa" w:w="70"/>
              <w:left w:type="dxa" w:w="100"/>
              <w:bottom w:type="dxa" w:w="70"/>
              <w:right w:type="dxa" w:w="100"/>
            </w:tcMar>
            <w:vAlign w:val="top"/>
          </w:tcPr>
          <w:p>
            <w:pPr>
              <w:spacing w:after="0" w:line="252"/>
              <w:jc w:val="left"/>
            </w:pPr>
            <w:r>
              <w:rPr>
                <w:sz w:val="20"/>
                <w:szCs w:val="20"/>
              </w:rPr>
              <w:t xml:space="preserve">Layers are told apart only by color, or inks other than black and one blue appear.</w:t>
            </w:r>
          </w:p>
        </w:tc>
        <w:tc>
          <w:tcPr>
            <w:tcW w:type="dxa" w:w="3015"/>
            <w:tcMar>
              <w:top w:type="dxa" w:w="70"/>
              <w:left w:type="dxa" w:w="100"/>
              <w:bottom w:type="dxa" w:w="70"/>
              <w:right w:type="dxa" w:w="100"/>
            </w:tcMar>
            <w:vAlign w:val="top"/>
          </w:tcPr>
          <w:p>
            <w:pPr>
              <w:spacing w:after="0" w:line="252"/>
              <w:jc w:val="left"/>
            </w:pPr>
            <w:r>
              <w:rPr>
                <w:sz w:val="20"/>
                <w:szCs w:val="20"/>
              </w:rPr>
              <w:t xml:space="preserve">Two inks are used, yet two or more layers merge in the gray copy, or an aquifer is filled with flat blue.</w:t>
            </w:r>
          </w:p>
        </w:tc>
        <w:tc>
          <w:tcPr>
            <w:tcW w:type="dxa" w:w="3015"/>
            <w:tcMar>
              <w:top w:type="dxa" w:w="70"/>
              <w:left w:type="dxa" w:w="100"/>
              <w:bottom w:type="dxa" w:w="70"/>
              <w:right w:type="dxa" w:w="100"/>
            </w:tcMar>
            <w:vAlign w:val="top"/>
          </w:tcPr>
          <w:p>
            <w:pPr>
              <w:spacing w:after="0" w:line="252"/>
              <w:jc w:val="left"/>
            </w:pPr>
            <w:r>
              <w:rPr>
                <w:sz w:val="20"/>
                <w:szCs w:val="20"/>
              </w:rPr>
              <w:t xml:space="preserve">Every layer has a pattern and tint that stays distinct in the gray copy, and water appears as tint running through the grain pattern.</w:t>
            </w:r>
          </w:p>
        </w:tc>
        <w:tc>
          <w:tcPr>
            <w:tcW w:type="dxa" w:w="3023"/>
            <w:tcMar>
              <w:top w:type="dxa" w:w="70"/>
              <w:left w:type="dxa" w:w="100"/>
              <w:bottom w:type="dxa" w:w="70"/>
              <w:right w:type="dxa" w:w="100"/>
            </w:tcMar>
            <w:vAlign w:val="top"/>
          </w:tcPr>
          <w:p>
            <w:pPr>
              <w:spacing w:after="0" w:line="252"/>
              <w:jc w:val="left"/>
            </w:pPr>
            <w:r>
              <w:rPr>
                <w:sz w:val="20"/>
                <w:szCs w:val="20"/>
              </w:rPr>
              <w:t xml:space="preserve">All of Proficient, and the swatch notes show at least one revision made because of the photocopy test, with the reason stated.</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Hierarchy and legibility</w:t>
            </w:r>
          </w:p>
        </w:tc>
        <w:tc>
          <w:tcPr>
            <w:tcW w:type="dxa" w:w="3015"/>
            <w:tcMar>
              <w:top w:type="dxa" w:w="70"/>
              <w:left w:type="dxa" w:w="100"/>
              <w:bottom w:type="dxa" w:w="70"/>
              <w:right w:type="dxa" w:w="100"/>
            </w:tcMar>
            <w:vAlign w:val="top"/>
          </w:tcPr>
          <w:p>
            <w:pPr>
              <w:spacing w:after="0" w:line="252"/>
              <w:jc w:val="left"/>
            </w:pPr>
            <w:r>
              <w:rPr>
                <w:sz w:val="20"/>
                <w:szCs w:val="20"/>
              </w:rPr>
              <w:t xml:space="preserve">Labels are missing or unreadable, and every line is the same weight.</w:t>
            </w:r>
          </w:p>
        </w:tc>
        <w:tc>
          <w:tcPr>
            <w:tcW w:type="dxa" w:w="3015"/>
            <w:tcMar>
              <w:top w:type="dxa" w:w="70"/>
              <w:left w:type="dxa" w:w="100"/>
              <w:bottom w:type="dxa" w:w="70"/>
              <w:right w:type="dxa" w:w="100"/>
            </w:tcMar>
            <w:vAlign w:val="top"/>
          </w:tcPr>
          <w:p>
            <w:pPr>
              <w:spacing w:after="0" w:line="252"/>
              <w:jc w:val="left"/>
            </w:pPr>
            <w:r>
              <w:rPr>
                <w:sz w:val="20"/>
                <w:szCs w:val="20"/>
              </w:rPr>
              <w:t xml:space="preserve">Most features are labeled, yet some labels sit on patterns without a knockout or leader line, or the water table does not stand out.</w:t>
            </w:r>
          </w:p>
        </w:tc>
        <w:tc>
          <w:tcPr>
            <w:tcW w:type="dxa" w:w="3015"/>
            <w:tcMar>
              <w:top w:type="dxa" w:w="70"/>
              <w:left w:type="dxa" w:w="100"/>
              <w:bottom w:type="dxa" w:w="70"/>
              <w:right w:type="dxa" w:w="100"/>
            </w:tcMar>
            <w:vAlign w:val="top"/>
          </w:tcPr>
          <w:p>
            <w:pPr>
              <w:spacing w:after="0" w:line="252"/>
              <w:jc w:val="left"/>
            </w:pPr>
            <w:r>
              <w:rPr>
                <w:sz w:val="20"/>
                <w:szCs w:val="20"/>
              </w:rPr>
              <w:t xml:space="preserve">All required features are labeled at the minimum size, line weights rank the ground surface and water table above the layer boundaries, and the legend matches the drawing.</w:t>
            </w:r>
          </w:p>
        </w:tc>
        <w:tc>
          <w:tcPr>
            <w:tcW w:type="dxa" w:w="3023"/>
            <w:tcMar>
              <w:top w:type="dxa" w:w="70"/>
              <w:left w:type="dxa" w:w="100"/>
              <w:bottom w:type="dxa" w:w="70"/>
              <w:right w:type="dxa" w:w="100"/>
            </w:tcMar>
            <w:vAlign w:val="top"/>
          </w:tcPr>
          <w:p>
            <w:pPr>
              <w:spacing w:after="0" w:line="252"/>
              <w:jc w:val="left"/>
            </w:pPr>
            <w:r>
              <w:rPr>
                <w:sz w:val="20"/>
                <w:szCs w:val="20"/>
              </w:rPr>
              <w:t xml:space="preserve">All of Proficient, and the peer reviewer found every required feature within 60 seconds.</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Inset detail</w:t>
            </w:r>
          </w:p>
        </w:tc>
        <w:tc>
          <w:tcPr>
            <w:tcW w:type="dxa" w:w="3015"/>
            <w:tcMar>
              <w:top w:type="dxa" w:w="70"/>
              <w:left w:type="dxa" w:w="100"/>
              <w:bottom w:type="dxa" w:w="70"/>
              <w:right w:type="dxa" w:w="100"/>
            </w:tcMar>
            <w:vAlign w:val="top"/>
          </w:tcPr>
          <w:p>
            <w:pPr>
              <w:spacing w:after="0" w:line="252"/>
              <w:jc w:val="left"/>
            </w:pPr>
            <w:r>
              <w:rPr>
                <w:sz w:val="20"/>
                <w:szCs w:val="20"/>
              </w:rPr>
              <w:t xml:space="preserve">There is no inset, or the drain field and farmhouse well are crowded into the main section without comment.</w:t>
            </w:r>
          </w:p>
        </w:tc>
        <w:tc>
          <w:tcPr>
            <w:tcW w:type="dxa" w:w="3015"/>
            <w:tcMar>
              <w:top w:type="dxa" w:w="70"/>
              <w:left w:type="dxa" w:w="100"/>
              <w:bottom w:type="dxa" w:w="70"/>
              <w:right w:type="dxa" w:w="100"/>
            </w:tcMar>
            <w:vAlign w:val="top"/>
          </w:tcPr>
          <w:p>
            <w:pPr>
              <w:spacing w:after="0" w:line="252"/>
              <w:jc w:val="left"/>
            </w:pPr>
            <w:r>
              <w:rPr>
                <w:sz w:val="20"/>
                <w:szCs w:val="20"/>
              </w:rPr>
              <w:t xml:space="preserve">An inset is present, yet it lacks its own scale bar or locator mark, or it exceeds the 4-by-3-inch limit.</w:t>
            </w:r>
          </w:p>
        </w:tc>
        <w:tc>
          <w:tcPr>
            <w:tcW w:type="dxa" w:w="3015"/>
            <w:tcMar>
              <w:top w:type="dxa" w:w="70"/>
              <w:left w:type="dxa" w:w="100"/>
              <w:bottom w:type="dxa" w:w="70"/>
              <w:right w:type="dxa" w:w="100"/>
            </w:tcMar>
            <w:vAlign w:val="top"/>
          </w:tcPr>
          <w:p>
            <w:pPr>
              <w:spacing w:after="0" w:line="252"/>
              <w:jc w:val="left"/>
            </w:pPr>
            <w:r>
              <w:rPr>
                <w:sz w:val="20"/>
                <w:szCs w:val="20"/>
              </w:rPr>
              <w:t xml:space="preserve">The inset fits the size limit, shows the well screen, the water table, and the drain field at the inset's stated scale, and carries a locator mark on the main section.</w:t>
            </w:r>
          </w:p>
        </w:tc>
        <w:tc>
          <w:tcPr>
            <w:tcW w:type="dxa" w:w="3023"/>
            <w:tcMar>
              <w:top w:type="dxa" w:w="70"/>
              <w:left w:type="dxa" w:w="100"/>
              <w:bottom w:type="dxa" w:w="70"/>
              <w:right w:type="dxa" w:w="100"/>
            </w:tcMar>
            <w:vAlign w:val="top"/>
          </w:tcPr>
          <w:p>
            <w:pPr>
              <w:spacing w:after="0" w:line="252"/>
              <w:jc w:val="left"/>
            </w:pPr>
            <w:r>
              <w:rPr>
                <w:sz w:val="20"/>
                <w:szCs w:val="20"/>
              </w:rPr>
              <w:t xml:space="preserve">All of Proficient, and the inset states its own vertical exaggeration, and the team can explain why it differs from the main section.</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Captions and accuracy</w:t>
            </w:r>
          </w:p>
        </w:tc>
        <w:tc>
          <w:tcPr>
            <w:tcW w:type="dxa" w:w="3015"/>
            <w:tcMar>
              <w:top w:type="dxa" w:w="70"/>
              <w:left w:type="dxa" w:w="100"/>
              <w:bottom w:type="dxa" w:w="70"/>
              <w:right w:type="dxa" w:w="100"/>
            </w:tcMar>
            <w:vAlign w:val="top"/>
          </w:tcPr>
          <w:p>
            <w:pPr>
              <w:spacing w:after="0" w:line="252"/>
              <w:jc w:val="left"/>
            </w:pPr>
            <w:r>
              <w:rPr>
                <w:sz w:val="20"/>
                <w:szCs w:val="20"/>
              </w:rPr>
              <w:t xml:space="preserve">Captions are missing, or they describe groundwater as an underground lake or river.</w:t>
            </w:r>
          </w:p>
        </w:tc>
        <w:tc>
          <w:tcPr>
            <w:tcW w:type="dxa" w:w="3015"/>
            <w:tcMar>
              <w:top w:type="dxa" w:w="70"/>
              <w:left w:type="dxa" w:w="100"/>
              <w:bottom w:type="dxa" w:w="70"/>
              <w:right w:type="dxa" w:w="100"/>
            </w:tcMar>
            <w:vAlign w:val="top"/>
          </w:tcPr>
          <w:p>
            <w:pPr>
              <w:spacing w:after="0" w:line="252"/>
              <w:jc w:val="left"/>
            </w:pPr>
            <w:r>
              <w:rPr>
                <w:sz w:val="20"/>
                <w:szCs w:val="20"/>
              </w:rPr>
              <w:t xml:space="preserve">Captions cover the three topics, yet one runs over 40 words or contains a factual error.</w:t>
            </w:r>
          </w:p>
        </w:tc>
        <w:tc>
          <w:tcPr>
            <w:tcW w:type="dxa" w:w="3015"/>
            <w:tcMar>
              <w:top w:type="dxa" w:w="70"/>
              <w:left w:type="dxa" w:w="100"/>
              <w:bottom w:type="dxa" w:w="70"/>
              <w:right w:type="dxa" w:w="100"/>
            </w:tcMar>
            <w:vAlign w:val="top"/>
          </w:tcPr>
          <w:p>
            <w:pPr>
              <w:spacing w:after="0" w:line="252"/>
              <w:jc w:val="left"/>
            </w:pPr>
            <w:r>
              <w:rPr>
                <w:sz w:val="20"/>
                <w:szCs w:val="20"/>
              </w:rPr>
              <w:t xml:space="preserve">Three captions of 40 words or fewer accurately explain pore-space water, the role of the clay, and the path from the drain field to the farmhouse well.</w:t>
            </w:r>
          </w:p>
        </w:tc>
        <w:tc>
          <w:tcPr>
            <w:tcW w:type="dxa" w:w="3023"/>
            <w:tcMar>
              <w:top w:type="dxa" w:w="70"/>
              <w:left w:type="dxa" w:w="100"/>
              <w:bottom w:type="dxa" w:w="70"/>
              <w:right w:type="dxa" w:w="100"/>
            </w:tcMar>
            <w:vAlign w:val="top"/>
          </w:tcPr>
          <w:p>
            <w:pPr>
              <w:spacing w:after="0" w:line="252"/>
              <w:jc w:val="left"/>
            </w:pPr>
            <w:r>
              <w:rPr>
                <w:sz w:val="20"/>
                <w:szCs w:val="20"/>
              </w:rPr>
              <w:t xml:space="preserve">All of Proficient, and each caption directs the reader to a specific labeled part of the drawing.</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Memo and panel presentation</w:t>
            </w:r>
          </w:p>
        </w:tc>
        <w:tc>
          <w:tcPr>
            <w:tcW w:type="dxa" w:w="3015"/>
            <w:tcMar>
              <w:top w:type="dxa" w:w="70"/>
              <w:left w:type="dxa" w:w="100"/>
              <w:bottom w:type="dxa" w:w="70"/>
              <w:right w:type="dxa" w:w="100"/>
            </w:tcMar>
            <w:vAlign w:val="top"/>
          </w:tcPr>
          <w:p>
            <w:pPr>
              <w:spacing w:after="0" w:line="252"/>
              <w:jc w:val="left"/>
            </w:pPr>
            <w:r>
              <w:rPr>
                <w:sz w:val="20"/>
                <w:szCs w:val="20"/>
              </w:rPr>
              <w:t xml:space="preserve">The memo or the presentation is missing.</w:t>
            </w:r>
          </w:p>
        </w:tc>
        <w:tc>
          <w:tcPr>
            <w:tcW w:type="dxa" w:w="3015"/>
            <w:tcMar>
              <w:top w:type="dxa" w:w="70"/>
              <w:left w:type="dxa" w:w="100"/>
              <w:bottom w:type="dxa" w:w="70"/>
              <w:right w:type="dxa" w:w="100"/>
            </w:tcMar>
            <w:vAlign w:val="top"/>
          </w:tcPr>
          <w:p>
            <w:pPr>
              <w:spacing w:after="0" w:line="252"/>
              <w:jc w:val="left"/>
            </w:pPr>
            <w:r>
              <w:rPr>
                <w:sz w:val="20"/>
                <w:szCs w:val="20"/>
              </w:rPr>
              <w:t xml:space="preserve">The memo states the scale choices but omits the photocopy results, or the presentation covers appearance only.</w:t>
            </w:r>
          </w:p>
        </w:tc>
        <w:tc>
          <w:tcPr>
            <w:tcW w:type="dxa" w:w="3015"/>
            <w:tcMar>
              <w:top w:type="dxa" w:w="70"/>
              <w:left w:type="dxa" w:w="100"/>
              <w:bottom w:type="dxa" w:w="70"/>
              <w:right w:type="dxa" w:w="100"/>
            </w:tcMar>
            <w:vAlign w:val="top"/>
          </w:tcPr>
          <w:p>
            <w:pPr>
              <w:spacing w:after="0" w:line="252"/>
              <w:jc w:val="left"/>
            </w:pPr>
            <w:r>
              <w:rPr>
                <w:sz w:val="20"/>
                <w:szCs w:val="20"/>
              </w:rPr>
              <w:t xml:space="preserve">The memo is complete, and the presentation names one choice made for the reader at the cost of true scale and gives its reason.</w:t>
            </w:r>
          </w:p>
        </w:tc>
        <w:tc>
          <w:tcPr>
            <w:tcW w:type="dxa" w:w="3023"/>
            <w:tcMar>
              <w:top w:type="dxa" w:w="70"/>
              <w:left w:type="dxa" w:w="100"/>
              <w:bottom w:type="dxa" w:w="70"/>
              <w:right w:type="dxa" w:w="100"/>
            </w:tcMar>
            <w:vAlign w:val="top"/>
          </w:tcPr>
          <w:p>
            <w:pPr>
              <w:spacing w:after="0" w:line="252"/>
              <w:jc w:val="left"/>
            </w:pPr>
            <w:r>
              <w:rPr>
                <w:sz w:val="20"/>
                <w:szCs w:val="20"/>
              </w:rPr>
              <w:t xml:space="preserve">All of Proficient, and the team answers a panel question about a tradeoff without abandoning a stated constraint.</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00" w:line="264"/>
      </w:pPr>
      <w:r>
        <w:rPr>
          <w:sz w:val="22"/>
          <w:szCs w:val="22"/>
        </w:rPr>
        <w:t xml:space="preserve">Reference values for the scale criterion: the section spans 640 minus 370, or 270 feet, and the frame leaves 6 minus 1.5, or 4.5 inches, for it, so the vertical scale can be no smaller than 270 divided by 4.5, which is 60 feet per inch. The clay rule allows no more than 20 divided by 0.25, which is 80 feet per inch. Against the fixed horizontal scale of 1,000 feet per inch, the allowed exaggeration therefore runs from 1,000 divided by 80, or 12.5 times, to 1,000 divided by 60, or about 16.7 times.</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Kessling County Aquifer Cross-Section: A Two-Ink Illustration Project</dc:title>
  <dc:subject>Project · Grade 10 · Art &amp; Music</dc:subject>
  <dc:creator>Water for Schools</dc:creator>
  <cp:keywords>Project, Grade 10, Art &amp; Music</cp:keywords>
  <dc:description>Grade 10 teams design a two-ink aquifer cross-section for a fictional county well guide, choosing a vertical exaggeration, layer patterns, an inset, and captions.</dc:description>
  <cp:lastModifiedBy>Water for Schools</cp:lastModifiedBy>
  <cp:revision>1</cp:revision>
  <dcterms:created xsi:type="dcterms:W3CDTF">2026-10-19T16:28:48.228Z</dcterms:created>
  <dcterms:modified xsi:type="dcterms:W3CDTF">2026-10-19T16:28:48.228Z</dcterms:modified>
</cp:coreProperties>
</file>

<file path=docProps/custom.xml><?xml version="1.0" encoding="utf-8"?>
<Properties xmlns="http://schemas.openxmlformats.org/officeDocument/2006/custom-properties" xmlns:vt="http://schemas.openxmlformats.org/officeDocument/2006/docPropsVTypes"/>
</file>