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Kettleworth PFAS Notice Layout: Grade 10 Type-Scale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10 · Art &amp; Music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10 design worksheet where students lay out a fictional water system's PFAS public notice, building a modular type scale and a column grid with real measurements.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how a type hierarchy improves the clarity of a public notice.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construct and evaluate an exponential rule for a modular type scale.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divide a fixed page width into margins, columns, and a gutter.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HSF-LE.A.2 (Common Core Math)</w:t>
      </w:r>
      <w:r>
        <w:rPr>
          <w:sz w:val="22"/>
          <w:szCs w:val="22"/>
        </w:rPr>
        <w:t xml:space="preserve">: Construct linear and exponential functions, including arithmetic and geometric sequences, given a graph, a description of a relationship, or two input-output pairs.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3 has students construct the exponential rule for a modular type scale from its constant ratio, and items 4 and 5 evaluate it, matching this standard's building of an exponential function from a described relationship.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6, 7, and 9 carry inches through the page grid, partitioning the fixed page width into margins, columns, and a gutter while keeping units consistent, the multi-step unit reasoning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type hierarchy, modular scale, gutter, legibility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When a water system's levels of PFAS, a group of long-lasting industrial chemicals, exceed the federal limits once those limits take effect, it must send customers a written public notice. Systems must meet the PFOA and PFOS limits by April 2029. In May 2026 EPA proposed letting eligible systems apply for a two-year exemption, to April 2031, without changing the limits; that proposal was not final as of September 2026, so the timeline for some systems may still change. The notice only works if a reader can find the key facts fast, so its design is a typography problem. This worksheet has students lay out a notice for the fictional Kettleworth Water System: build a modular type scale that sizes the headline, subhead, and body text by a constant ratio, and divide the page into a clean column grid. The math is a geometric sequence for the type sizes and simple partitioning for the grid.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type-scale formula already written for item 3 so students focus on evaluating it in items 4 and 5, and supply a diagram of the page grid with the margins and gutter labeled before item 6.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extend the type scale one step below the body text (n = -1) to find a caption size, write its value, and explain how choosing a larger ratio, such as 1.5, would change the contrast between headline and body across the same number of steps.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Give a bilingual glossary card for "hierarchy," "margin," "column," and "gutter," each with a small labeled image. Allow items 1, 2, 8, and 10 to be answered with short phrases or a labeled sketch of the page instead of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Kettleworth PFAS Notice Layout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10 · Art &amp; Music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fictional Kettleworth Water System must lay out a one-page PFAS notice. Use the numbers in each item.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notice uses different type sizes for its headline, subhead, and body text. Explain in one or two sentences why this hierarchy helps a reader.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Many residents reading the notice are older. Name two typographic choices that make small body text easier to read.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modular type scale starts at a 12-point body size and multiplies by 1.25 at each larger step. Write a formula for the size S of step n, where n equals 0 at the body size.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formula, find the point size at step 1 and step 2.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headline size at step 4 of the scale.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notice page is 8.5 inches wide. You set a 1-inch margin on the left and a 1-inch margin on the right. How wide is the text area that remains?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You split the 6.5-inch text area into 2 equal columns with a 0.5-inch gutter between them. How wide is each column?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notice reports that PFOA and PFOS must each stay at or below 4 parts per trillion. Where in the type hierarchy should this figure sit, and why?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Add up the two 1-inch margins, the two 3-inch columns, and the 0.5-inch gutter. Show that the parts total the 8.5-inch page width.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designer wants to set the whole notice in one large size to make it feel important. Explain why a hierarchy of sizes communicates more clearly than a single large size.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Kettleworth PFAS Notice Layout: Grade 10 Type-Scale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10 · Art &amp; Music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hierarchy lets a reader scan in order of importance: the headline signals the topic, the subhead gives the key point, and the body fills in detail, so the reader finds what matters without reading every word.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Any two of: a large enough body size, generous line spacing, strong value contrast between text and background, and a simple, even-weight typeface.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 equals 12 times 1.25 raised to the power n. Each step multiplies the previous size by the constant ratio 1.25.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points; step 2 is 18.8 points. Step 1 is 12 times 1.25, or 15; step 2 is 15 times 1.25, or 18.75, which rounds to 18.8 points.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29.3 points. Step 4 is 12 times 1.25 to the fourth power, or 12 times 2.4414, which is 29.296, rounding to 29.3 points.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6.5 inches. The two 1-inch margins remove 2 inches from the 8.5-inch page, leaving 6.5 inches.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inches. Subtract the 0.5-inch gutter from 6.5 inches to get 6 inches, then divide by 2 columns for 3 inches each.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Near the top, at subhead level or emphasized within it. The figure is a key fact, so it should sit high in the hierarchy, though the required customer action should still be the largest, headline-level element.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8.5 inches. 1 plus 3 plus 0.5 plus 3 plus 1 equals 8.5 inches, which matches the page width.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One large size gives every word equal weight, so nothing stands out and the reader must hunt for the key point. A hierarchy ranks the information, guiding the eye from the most important message downward.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Kettleworth PFAS Notice Layout: Grade 10 Type-Scale Worksheet</dc:title>
  <dc:subject>Worksheet · Grade 10 · Art &amp; Music</dc:subject>
  <dc:creator>Water for Schools</dc:creator>
  <cp:keywords>Worksheet, Grade 10, Art &amp; Music</cp:keywords>
  <dc:description>A grade 10 design worksheet where students lay out a fictional water system's PFAS public notice, building a modular type scale and a column grid with real measurements.</dc:description>
  <cp:lastModifiedBy>Water for Schools</cp:lastModifiedBy>
  <cp:revision>1</cp:revision>
  <dcterms:created xsi:type="dcterms:W3CDTF">2026-10-19T16:28:48.258Z</dcterms:created>
  <dcterms:modified xsi:type="dcterms:W3CDTF">2026-10-19T16:28:48.258Z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