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Designing a Diverging pH Color Scale for the Stannary Water Report</w:t>
      </w:r>
    </w:p>
    <w:p>
      <w:pPr>
        <w:keepNext/>
        <w:spacing w:after="160"/>
      </w:pPr>
      <w:r>
        <w:rPr>
          <w:color w:val="5B6B70"/>
          <w:sz w:val="20"/>
          <w:szCs w:val="20"/>
        </w:rPr>
        <w:t xml:space="preserve">Lesson plan · Grade 8 · Art &amp; Music</w:t>
      </w:r>
    </w:p>
    <w:p>
      <w:pPr>
        <w:spacing w:after="100" w:line="264"/>
      </w:pPr>
      <w:r>
        <w:rPr>
          <w:i/>
          <w:iCs/>
          <w:color w:val="12333F"/>
          <w:sz w:val="22"/>
          <w:szCs w:val="22"/>
        </w:rPr>
        <w:t xml:space="preserve">A grade 8 art lesson in which students design the pH graphic for a fictional town's water quality report, using a diverging color scale checked in grayscale.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Colored pencils, one full set per pair</w:t>
            </w:r>
          </w:p>
          <w:p>
            <w:pPr>
              <w:spacing w:after="0"/>
            </w:pPr>
            <w:r>
              <w:rPr>
                <w:sz w:val="20"/>
                <w:szCs w:val="20"/>
              </w:rPr>
              <w:t xml:space="preserve">• Printed gray value strips, nine steps from white (1) to black (9), one per pair</w:t>
            </w:r>
          </w:p>
          <w:p>
            <w:pPr>
              <w:spacing w:after="0"/>
            </w:pPr>
            <w:r>
              <w:rPr>
                <w:sz w:val="20"/>
                <w:szCs w:val="20"/>
              </w:rPr>
              <w:t xml:space="preserve">• Printed Student Handout with the report brief and a blank 15-box scale bar</w:t>
            </w:r>
          </w:p>
          <w:p>
            <w:pPr>
              <w:spacing w:after="0"/>
            </w:pPr>
            <w:r>
              <w:rPr>
                <w:sz w:val="20"/>
                <w:szCs w:val="20"/>
              </w:rPr>
              <w:t xml:space="preserve">• A projected rainbow pH indicator chart and a grayscale copy of the same chart</w:t>
            </w:r>
          </w:p>
          <w:p>
            <w:pPr>
              <w:spacing w:after="0"/>
            </w:pPr>
            <w:r>
              <w:rPr>
                <w:sz w:val="20"/>
                <w:szCs w:val="20"/>
              </w:rPr>
              <w:t xml:space="preserve">• Scrap paper for value ramps</w:t>
            </w:r>
          </w:p>
          <w:p>
            <w:pPr>
              <w:spacing w:after="0"/>
            </w:pPr>
            <w:r>
              <w:rPr>
                <w:sz w:val="20"/>
                <w:szCs w:val="20"/>
              </w:rPr>
              <w:t xml:space="preserve">• Index cards, one per student,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categorical, sequential, and diverging color schemes and choose the one that fits data with a meaningful midpoint.</w:t>
      </w:r>
    </w:p>
    <w:p>
      <w:pPr>
        <w:pStyle w:val="ListParagraph"/>
        <w:keepNext/>
        <w:keepLines/>
        <w:numPr>
          <w:ilvl w:val="0"/>
          <w:numId w:val="2"/>
        </w:numPr>
        <w:spacing w:after="60" w:line="264"/>
        <w:ind w:left="720" w:hanging="360"/>
      </w:pPr>
      <w:r>
        <w:rPr>
          <w:sz w:val="22"/>
          <w:szCs w:val="22"/>
        </w:rPr>
        <w:t xml:space="preserve">Students will design a pH scale graphic in which lightness, and not hue alone, carries the order from acidic through neutral to basic.</w:t>
      </w:r>
    </w:p>
    <w:p>
      <w:pPr>
        <w:pStyle w:val="ListParagraph"/>
        <w:keepLines/>
        <w:numPr>
          <w:ilvl w:val="0"/>
          <w:numId w:val="2"/>
        </w:numPr>
        <w:spacing w:after="60" w:line="264"/>
        <w:ind w:left="720" w:hanging="360"/>
      </w:pPr>
      <w:r>
        <w:rPr>
          <w:sz w:val="22"/>
          <w:szCs w:val="22"/>
        </w:rPr>
        <w:t xml:space="preserve">Students will test a design against a gray value strip and use the result as evidence in a short written argument.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In the exit-ticket paragraph each student claims whether the diverging pH scale or the rainbow indicator chart better shows where Stannary's water sits relative to neutral, supports the claim with the gray step numbers a partner recorded, and states and answers one opposing reason.</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spacing w:after="100" w:line="264"/>
      </w:pPr>
      <w:r>
        <w:rPr>
          <w:b/>
          <w:bCs/>
          <w:sz w:val="22"/>
          <w:szCs w:val="22"/>
        </w:rPr>
        <w:t xml:space="preserve">Also: </w:t>
      </w:r>
      <w:r>
        <w:rPr>
          <w:sz w:val="22"/>
          <w:szCs w:val="22"/>
        </w:rPr>
        <w:t xml:space="preserve">neutral, diverging color scale, sequential color scale, categorical color scheme, value, hue, color-vision deficiency</w:t>
      </w:r>
    </w:p>
    <w:p>
      <w:pPr>
        <w:pStyle w:val="Heading2"/>
        <w:keepNext/>
        <w:keepLines/>
      </w:pPr>
      <w:r>
        <w:rPr>
          <w:sz w:val="28"/>
          <w:szCs w:val="28"/>
        </w:rPr>
        <w:t xml:space="preserve">Teacher overview</w:t>
      </w:r>
    </w:p>
    <w:p>
      <w:pPr>
        <w:spacing w:after="100" w:line="264"/>
      </w:pPr>
      <w:r>
        <w:rPr>
          <w:sz w:val="22"/>
          <w:szCs w:val="22"/>
        </w:rPr>
        <w:t xml:space="preserve">Water utilities publish an annual water quality report for their customers, and many of these reports show the tap water's pH as a point on a colored bar. The usual bar is a rainbow borrowed from pH indicator strips, running from red through orange, yellow, green, and blue to purple. In this lesson students design the pH graphic for the fictional Stannary Water Department and learn why a diverging color scale, with a pale neutral middle and two hues that darken toward the acidic and basic ends, shows the idea of a midpoint more clearly than a rainbow does. The lesson connects a piece of aquatic chemistry, the pH scale, with a core decision in information design: matching the type of color scheme to the structure of the data.</w:t>
      </w:r>
    </w:p>
    <w:p>
      <w:pPr>
        <w:spacing w:after="100" w:line="264"/>
      </w:pPr>
      <w:r>
        <w:rPr>
          <w:sz w:val="22"/>
          <w:szCs w:val="22"/>
        </w:rPr>
        <w:t xml:space="preserve">Two misconceptions tend to arrive together, and both should be addressed during direct instruction. The first is that the rainbow colors belong to pH itself. The colors on an indicator strip come from a particular dye, and a different dye gives different colors: red cabbage juice turns red in strong acid, purple near neutral, and blue, then green, then yellow as a solution becomes more basic. The colors on a report graphic are therefore a design choice, not a scientific fact, and students who believe otherwise will resist changing the palette. The second misconception is that pH 6 is only slightly more acidic than pH 7. Each whole step on the pH scale is a tenfold change in the concentration of hydrogen ions, the particles that make water acidic, so pH 6 is ten times as acidic as pH 7 and pH 5 is a hundred times as acidic. That is one reason the neutral point deserves visual emphasis on the bar.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rainbow pH indicator chart beside a grayscale copy of the same chart. Ask the class, "On the gray version, where is neutral?" On most universal-indicator charts the lightest band is the yellow one, which sits on the acidic side of 7, while the green band at 7 prints as a middle gray. Let students notice that the grayscale copy draws the eye to the wrong place. Take two or three observations without resolving them yet.</w:t>
      </w:r>
    </w:p>
    <w:p>
      <w:pPr>
        <w:spacing w:after="100" w:line="264"/>
      </w:pPr>
      <w:r>
        <w:rPr>
          <w:b/>
          <w:bCs/>
          <w:sz w:val="22"/>
          <w:szCs w:val="22"/>
        </w:rPr>
        <w:t xml:space="preserve">Direct instruction (12 min):</w:t>
      </w:r>
      <w:r>
        <w:rPr>
          <w:sz w:val="22"/>
          <w:szCs w:val="22"/>
        </w:rPr>
        <w:t xml:space="preserve"> Cover three short points, pausing after each for questions.</w:t>
      </w:r>
    </w:p>
    <w:p>
      <w:pPr>
        <w:spacing w:after="100" w:line="264"/>
      </w:pPr>
      <w:r>
        <w:rPr>
          <w:sz w:val="22"/>
          <w:szCs w:val="22"/>
        </w:rPr>
        <w:t xml:space="preserve">First, the chemistry. The pH scale runs from 0 to 14, with 7 as neutral; values below 7 are acidic and values above 7 are basic. Each whole step is a tenfold change. Under EPA's secondary (aesthetic) standard, drinking water pH should fall between 6.5 and 8.5. Many utilities adjust their water to be slightly basic, because acidic water is corrosive and can dissolve metals, including lead and copper, from household plumbing. Explain the indicator-dye point from the Overview here, using red cabbage as the example.</w:t>
      </w:r>
    </w:p>
    <w:p>
      <w:pPr>
        <w:spacing w:after="100" w:line="264"/>
      </w:pPr>
      <w:r>
        <w:rPr>
          <w:sz w:val="22"/>
          <w:szCs w:val="22"/>
        </w:rPr>
        <w:t xml:space="preserve">Second, the three kinds of color schemes. A categorical scheme uses clearly different hues for groups that have no order, such as the pipe types on a utility map. A sequential scheme runs from light to dark in one hue for data that goes from low to high, such as rainfall totals. A diverging scheme starts from a pale neutral center and darkens in two different hues toward the two ends; it fits data with a meaningful middle, such as a temperature above or below freezing, or pH above or below 7.</w:t>
      </w:r>
    </w:p>
    <w:p>
      <w:pPr>
        <w:spacing w:after="100" w:line="264"/>
      </w:pPr>
      <w:r>
        <w:rPr>
          <w:sz w:val="22"/>
          <w:szCs w:val="22"/>
        </w:rPr>
        <w:t xml:space="preserve">Third, explain why lightness matters. Readers take darker and stronger colors to mean "more," so the order of a scale should be carried by value (lightness and darkness), not by hue alone. A scale that relies on value still reads when the report is photocopied in black and white, and it still reads for customers with a common form of color-vision deficiency that makes red and green hard to tell apart.</w:t>
      </w:r>
    </w:p>
    <w:p>
      <w:pPr>
        <w:spacing w:after="100" w:line="264"/>
      </w:pPr>
      <w:r>
        <w:rPr>
          <w:b/>
          <w:bCs/>
          <w:sz w:val="22"/>
          <w:szCs w:val="22"/>
        </w:rPr>
        <w:t xml:space="preserve">Guided practice (8 min):</w:t>
      </w:r>
      <w:r>
        <w:rPr>
          <w:sz w:val="22"/>
          <w:szCs w:val="22"/>
        </w:rPr>
        <w:t xml:space="preserve"> In pairs, students make two value ramps on scrap paper, each with seven small boxes: one ramp in a warm hue such as red-orange and one in a cool hue such as blue-violet. Each ramp runs from nearly white to as dark as colored pencil allows, built up by layering and pressure rather than by switching to a different pencil. Partners then hold the printed gray value strip beside each box and write the matching gray step number (1 for white through 9 for black) under it. Formative check: pairs hold their ramps up at the same time. Any ramp in which two neighboring boxes share the same gray number has to be redone; if more than a quarter of the ramps in the room show a repeated number, stop and model layering pressure again before moving on.</w:t>
      </w:r>
    </w:p>
    <w:p>
      <w:pPr>
        <w:spacing w:after="100" w:line="264"/>
      </w:pPr>
      <w:r>
        <w:rPr>
          <w:b/>
          <w:bCs/>
          <w:sz w:val="22"/>
          <w:szCs w:val="22"/>
        </w:rPr>
        <w:t xml:space="preserve">Independent design (15 min):</w:t>
      </w:r>
      <w:r>
        <w:rPr>
          <w:sz w:val="22"/>
          <w:szCs w:val="22"/>
        </w:rPr>
        <w:t xml:space="preserve"> Each student designs the Stannary pH graphic from the Student Handout. Students color the fifteen boxes so that box 7 is the lightest, the acidic boxes darken step by step in one hue toward 0, and the basic boxes darken step by step in the other hue toward 14. Boxes the same distance from 7, such as 5 and 9, should match in darkness so that neither side looks more alarming than the other. Students then add the bracket for the 6.5 to 8.5 range, the pointer for Stannary's reading, the end labels, the tenfold note, and a title in plain words. Circulate and ask each student which box is lightest and why.</w:t>
      </w:r>
    </w:p>
    <w:p>
      <w:pPr>
        <w:spacing w:after="100" w:line="264"/>
      </w:pPr>
      <w:r>
        <w:rPr>
          <w:b/>
          <w:bCs/>
          <w:sz w:val="22"/>
          <w:szCs w:val="22"/>
        </w:rPr>
        <w:t xml:space="preserve">Partner gray check (4 min):</w:t>
      </w:r>
      <w:r>
        <w:rPr>
          <w:sz w:val="22"/>
          <w:szCs w:val="22"/>
        </w:rPr>
        <w:t xml:space="preserve"> Partners swap graphics. Each partner compares five boxes (pH 1, 4, 7, 10, and 13) with the gray value strip and records the gray step numbers in the table on the back of the handout. A working diverging scale shows its lowest number at pH 7 and numbers rising in both directions.</w:t>
      </w:r>
    </w:p>
    <w:p>
      <w:pPr>
        <w:spacing w:after="100" w:line="264"/>
      </w:pPr>
      <w:r>
        <w:rPr>
          <w:b/>
          <w:bCs/>
          <w:sz w:val="22"/>
          <w:szCs w:val="22"/>
        </w:rPr>
        <w:t xml:space="preserve">Closure and exit ticket (6 min):</w:t>
      </w:r>
      <w:r>
        <w:rPr>
          <w:sz w:val="22"/>
          <w:szCs w:val="22"/>
        </w:rPr>
        <w:t xml:space="preserve"> Students write one paragraph on an index card in answer to the exit-ticket prompt on the handout. Collect the cards. If fewer than two-thirds of the paragraphs cite at least one gray step number as evidence, open the next class by modeling how a test result becomes evidence in an argument.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handout bar with box 7 already left white and faint pencil guides marking which boxes belong to the acidic side and which to the basic side. Provide two pre-selected pencils, one warm and one cool, so the decision narrows to building value rather than choosing hues. For the exit ticket, offer a frame: "I claim that ___ because my partner recorded ___. Someone might say ___, but ___."</w:t>
      </w:r>
    </w:p>
    <w:p>
      <w:pPr>
        <w:pStyle w:val="Heading3"/>
        <w:keepNext/>
        <w:keepLines/>
      </w:pPr>
      <w:r>
        <w:rPr>
          <w:sz w:val="24"/>
          <w:szCs w:val="24"/>
        </w:rPr>
        <w:t xml:space="preserve">Extension</w:t>
      </w:r>
    </w:p>
    <w:p>
      <w:pPr>
        <w:spacing w:after="100" w:line="264"/>
      </w:pPr>
      <w:r>
        <w:rPr>
          <w:sz w:val="22"/>
          <w:szCs w:val="22"/>
        </w:rPr>
        <w:t xml:space="preserve">Ask students to design a second graphic for the same report showing a sequential quantity with no meaningful middle, such as the hardness of the water from soft to hard, and to explain in two or three sentences why a sequential scale fits that data while a diverging scale fits pH. Students who finish early can also add a small inset that shows the tenfold steps visually, for example by drawing one dot for pH 7, ten for pH 6, and a hundred for pH 5.</w:t>
      </w:r>
    </w:p>
    <w:p>
      <w:pPr>
        <w:pStyle w:val="Heading3"/>
        <w:keepNext/>
        <w:keepLines/>
      </w:pPr>
      <w:r>
        <w:rPr>
          <w:sz w:val="24"/>
          <w:szCs w:val="24"/>
        </w:rPr>
        <w:t xml:space="preserve">ELL supports</w:t>
      </w:r>
    </w:p>
    <w:p>
      <w:pPr>
        <w:spacing w:after="100" w:line="264"/>
      </w:pPr>
      <w:r>
        <w:rPr>
          <w:sz w:val="22"/>
          <w:szCs w:val="22"/>
        </w:rPr>
        <w:t xml:space="preserve">Pre-teach "acidic," "basic," "neutral," "light," and "dark" with the projected charts, pointing to each part of the bar as the word is introduced. Post a word bank with "lighter than," "darker than," "in the middle," and "at the ends." Allow the exit ticket to be written with the sentence frame from the Support section or given orally to the teacher while pointing to the recorded gray numbers.</w:t>
      </w:r>
    </w:p>
    <w:p>
      <w:pPr>
        <w:pStyle w:val="Heading2"/>
        <w:keepNext/>
        <w:keepLines/>
      </w:pPr>
      <w:r>
        <w:rPr>
          <w:sz w:val="28"/>
          <w:szCs w:val="28"/>
        </w:rPr>
        <w:t xml:space="preserve">Extensions</w:t>
      </w:r>
    </w:p>
    <w:p>
      <w:pPr>
        <w:spacing w:after="100" w:line="264"/>
      </w:pPr>
      <w:r>
        <w:rPr>
          <w:sz w:val="22"/>
          <w:szCs w:val="22"/>
        </w:rPr>
        <w:t xml:space="preserve">Make red cabbage indicator by steeping chopped red cabbage in hot water and straining it, then have students brush the indicator onto paper and paint over it with vinegar and with a baking soda solution, both of which are safe to handle. Students compare the natural colors the dye produces with the diverging scale they designed and write a short caption explaining why a designer might still choose the designed scale for a public report.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Designing a Diverging pH Color Scale for the Stannary Water Report</w:t>
      </w:r>
    </w:p>
    <w:p>
      <w:pPr>
        <w:keepNext/>
        <w:spacing w:after="160"/>
      </w:pPr>
      <w:r>
        <w:rPr>
          <w:color w:val="5B6B70"/>
          <w:sz w:val="20"/>
          <w:szCs w:val="20"/>
        </w:rPr>
        <w:t xml:space="preserve">Grade 8 · Art &amp; Music</w:t>
      </w:r>
    </w:p>
    <w:p>
      <w:pPr>
        <w:pStyle w:val="Heading2"/>
        <w:keepNext/>
        <w:keepLines/>
      </w:pPr>
      <w:r>
        <w:rPr>
          <w:sz w:val="28"/>
          <w:szCs w:val="28"/>
        </w:rPr>
        <w:t xml:space="preserve">Student Handout</w:t>
      </w:r>
    </w:p>
    <w:p>
      <w:pPr>
        <w:spacing w:after="120" w:line="276"/>
      </w:pPr>
      <w:r>
        <w:rPr>
          <w:b/>
          <w:bCs/>
          <w:sz w:val="22"/>
          <w:szCs w:val="22"/>
        </w:rPr>
        <w:t xml:space="preserve">The design brief.</w:t>
      </w:r>
      <w:r>
        <w:rPr>
          <w:sz w:val="22"/>
          <w:szCs w:val="22"/>
        </w:rPr>
        <w:t xml:space="preserve"> The town of Stannary is fictional. Its water department is redesigning the pH graphic in its annual water quality report, which is mailed to every home and is often photocopied in black and white. This year's average tap water pH in Stannary was 7.8, a value invented for this lesson.</w:t>
      </w:r>
    </w:p>
    <w:p>
      <w:pPr>
        <w:keepNext/>
        <w:keepLines/>
        <w:spacing w:after="120" w:line="276"/>
      </w:pPr>
      <w:r>
        <w:rPr>
          <w:b/>
          <w:bCs/>
          <w:sz w:val="22"/>
          <w:szCs w:val="22"/>
        </w:rPr>
        <w:t xml:space="preserve">What your graphic must include:</w:t>
      </w:r>
    </w:p>
    <w:p>
      <w:pPr>
        <w:pStyle w:val="ListParagraph"/>
        <w:keepNext/>
        <w:keepLines/>
        <w:numPr>
          <w:ilvl w:val="0"/>
          <w:numId w:val="3"/>
        </w:numPr>
        <w:spacing w:after="60" w:line="276"/>
        <w:ind w:left="720" w:hanging="360"/>
      </w:pPr>
      <w:r>
        <w:rPr>
          <w:sz w:val="22"/>
          <w:szCs w:val="22"/>
        </w:rPr>
        <w:t xml:space="preserve">A horizontal bar of 15 equal boxes labeled 0 through 14, with box 7 in the center. Make the bar at least 8 inches long.</w:t>
      </w:r>
    </w:p>
    <w:p>
      <w:pPr>
        <w:pStyle w:val="ListParagraph"/>
        <w:keepNext/>
        <w:keepLines/>
        <w:numPr>
          <w:ilvl w:val="0"/>
          <w:numId w:val="3"/>
        </w:numPr>
        <w:spacing w:after="60" w:line="276"/>
        <w:ind w:left="720" w:hanging="360"/>
      </w:pPr>
      <w:r>
        <w:rPr>
          <w:sz w:val="22"/>
          <w:szCs w:val="22"/>
        </w:rPr>
        <w:t xml:space="preserve">Box 7 is the lightest color on the bar. The boxes darken step by step in one hue from 7 down to 0 and in a second hue from 7 up to 14.</w:t>
      </w:r>
    </w:p>
    <w:p>
      <w:pPr>
        <w:pStyle w:val="ListParagraph"/>
        <w:keepNext/>
        <w:keepLines/>
        <w:numPr>
          <w:ilvl w:val="0"/>
          <w:numId w:val="3"/>
        </w:numPr>
        <w:spacing w:after="60" w:line="276"/>
        <w:ind w:left="720" w:hanging="360"/>
      </w:pPr>
      <w:r>
        <w:rPr>
          <w:sz w:val="22"/>
          <w:szCs w:val="22"/>
        </w:rPr>
        <w:t xml:space="preserve">Boxes that are the same distance from 7 match in darkness. Box 5 should be as dark as box 9.</w:t>
      </w:r>
    </w:p>
    <w:p>
      <w:pPr>
        <w:pStyle w:val="ListParagraph"/>
        <w:keepNext/>
        <w:keepLines/>
        <w:numPr>
          <w:ilvl w:val="0"/>
          <w:numId w:val="3"/>
        </w:numPr>
        <w:spacing w:after="60" w:line="276"/>
        <w:ind w:left="720" w:hanging="360"/>
      </w:pPr>
      <w:r>
        <w:rPr>
          <w:sz w:val="22"/>
          <w:szCs w:val="22"/>
        </w:rPr>
        <w:t xml:space="preserve">A bracket over the range from 6.5 to 8.5, labeled "EPA secondary standard for drinking water: pH 6.5 to 8.5."</w:t>
      </w:r>
    </w:p>
    <w:p>
      <w:pPr>
        <w:pStyle w:val="ListParagraph"/>
        <w:keepNext/>
        <w:keepLines/>
        <w:numPr>
          <w:ilvl w:val="0"/>
          <w:numId w:val="3"/>
        </w:numPr>
        <w:spacing w:after="60" w:line="276"/>
        <w:ind w:left="720" w:hanging="360"/>
      </w:pPr>
      <w:r>
        <w:rPr>
          <w:sz w:val="22"/>
          <w:szCs w:val="22"/>
        </w:rPr>
        <w:t xml:space="preserve">A pointer at 7.8, labeled "Stannary's water this year: 7.8."</w:t>
      </w:r>
    </w:p>
    <w:p>
      <w:pPr>
        <w:pStyle w:val="ListParagraph"/>
        <w:keepNext/>
        <w:keepLines/>
        <w:numPr>
          <w:ilvl w:val="0"/>
          <w:numId w:val="3"/>
        </w:numPr>
        <w:spacing w:after="60" w:line="276"/>
        <w:ind w:left="720" w:hanging="360"/>
      </w:pPr>
      <w:r>
        <w:rPr>
          <w:sz w:val="22"/>
          <w:szCs w:val="22"/>
        </w:rPr>
        <w:t xml:space="preserve">The words "More acidic" under the left end and "More basic" under the right end.</w:t>
      </w:r>
    </w:p>
    <w:p>
      <w:pPr>
        <w:pStyle w:val="ListParagraph"/>
        <w:keepNext/>
        <w:keepLines/>
        <w:numPr>
          <w:ilvl w:val="0"/>
          <w:numId w:val="3"/>
        </w:numPr>
        <w:spacing w:after="60" w:line="276"/>
        <w:ind w:left="720" w:hanging="360"/>
      </w:pPr>
      <w:r>
        <w:rPr>
          <w:sz w:val="22"/>
          <w:szCs w:val="22"/>
        </w:rPr>
        <w:t xml:space="preserve">A short note: "Each step is a tenfold change."</w:t>
      </w:r>
    </w:p>
    <w:p>
      <w:pPr>
        <w:pStyle w:val="ListParagraph"/>
        <w:keepLines/>
        <w:numPr>
          <w:ilvl w:val="0"/>
          <w:numId w:val="3"/>
        </w:numPr>
        <w:spacing w:after="60" w:line="276"/>
        <w:ind w:left="720" w:hanging="360"/>
      </w:pPr>
      <w:r>
        <w:rPr>
          <w:sz w:val="22"/>
          <w:szCs w:val="22"/>
        </w:rPr>
        <w:t xml:space="preserve">A title in plain words, such as "How acidic or basic is Stannary's water?"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Partner gray check.</w:t>
      </w:r>
      <w:r>
        <w:rPr>
          <w:sz w:val="22"/>
          <w:szCs w:val="22"/>
        </w:rPr>
        <w:t xml:space="preserve"> Your partner fills in this table using the gray value strip, where 1 is white and 9 is black.</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4"/>
        <w:gridCol w:w="2347"/>
        <w:gridCol w:w="2347"/>
        <w:gridCol w:w="2347"/>
        <w:gridCol w:w="2357"/>
        <w:gridCol w:w="2358"/>
      </w:tblGrid>
      <w:tr>
        <w:trPr>
          <w:cantSplit/>
          <w:tblHeader/>
        </w:trPr>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pH box</w:t>
            </w:r>
          </w:p>
        </w:tc>
        <w:tc>
          <w:tcPr>
            <w:tcW w:type="dxa" w:w="23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w:t>
            </w:r>
          </w:p>
        </w:tc>
        <w:tc>
          <w:tcPr>
            <w:tcW w:type="dxa" w:w="23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w:t>
            </w:r>
          </w:p>
        </w:tc>
        <w:tc>
          <w:tcPr>
            <w:tcW w:type="dxa" w:w="23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7</w:t>
            </w:r>
          </w:p>
        </w:tc>
        <w:tc>
          <w:tcPr>
            <w:tcW w:type="dxa" w:w="23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10</w:t>
            </w:r>
          </w:p>
        </w:tc>
        <w:tc>
          <w:tcPr>
            <w:tcW w:type="dxa" w:w="23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13</w:t>
            </w:r>
          </w:p>
        </w:tc>
      </w:tr>
      <w:tr>
        <w:trPr>
          <w:cantSplit/>
          <w:trHeight w:val="605" w:hRule="atLeast"/>
        </w:trPr>
        <w:tc>
          <w:tcPr>
            <w:tcW w:type="dxa" w:w="1924"/>
            <w:tcMar>
              <w:top w:type="dxa" w:w="70"/>
              <w:left w:type="dxa" w:w="100"/>
              <w:bottom w:type="dxa" w:w="70"/>
              <w:right w:type="dxa" w:w="100"/>
            </w:tcMar>
            <w:vAlign w:val="top"/>
          </w:tcPr>
          <w:p>
            <w:pPr>
              <w:spacing w:after="0" w:line="252"/>
              <w:jc w:val="left"/>
            </w:pPr>
            <w:r>
              <w:rPr>
                <w:sz w:val="20"/>
                <w:szCs w:val="20"/>
              </w:rPr>
              <w:t xml:space="preserve">Gray step number</w:t>
            </w:r>
          </w:p>
        </w:tc>
        <w:tc>
          <w:tcPr>
            <w:tcW w:type="dxa" w:w="2347"/>
            <w:tcMar>
              <w:top w:type="dxa" w:w="70"/>
              <w:left w:type="dxa" w:w="100"/>
              <w:bottom w:type="dxa" w:w="70"/>
              <w:right w:type="dxa" w:w="100"/>
            </w:tcMar>
            <w:vAlign w:val="top"/>
          </w:tcPr>
          <w:p>
            <w:pPr>
              <w:spacing w:after="0" w:line="252"/>
              <w:jc w:val="left"/>
            </w:pPr>
          </w:p>
        </w:tc>
        <w:tc>
          <w:tcPr>
            <w:tcW w:type="dxa" w:w="2347"/>
            <w:tcMar>
              <w:top w:type="dxa" w:w="70"/>
              <w:left w:type="dxa" w:w="100"/>
              <w:bottom w:type="dxa" w:w="70"/>
              <w:right w:type="dxa" w:w="100"/>
            </w:tcMar>
            <w:vAlign w:val="top"/>
          </w:tcPr>
          <w:p>
            <w:pPr>
              <w:spacing w:after="0" w:line="252"/>
              <w:jc w:val="left"/>
            </w:pPr>
          </w:p>
        </w:tc>
        <w:tc>
          <w:tcPr>
            <w:tcW w:type="dxa" w:w="2347"/>
            <w:tcMar>
              <w:top w:type="dxa" w:w="70"/>
              <w:left w:type="dxa" w:w="100"/>
              <w:bottom w:type="dxa" w:w="70"/>
              <w:right w:type="dxa" w:w="100"/>
            </w:tcMar>
            <w:vAlign w:val="top"/>
          </w:tcPr>
          <w:p>
            <w:pPr>
              <w:spacing w:after="0" w:line="252"/>
              <w:jc w:val="left"/>
            </w:pPr>
          </w:p>
        </w:tc>
        <w:tc>
          <w:tcPr>
            <w:tcW w:type="dxa" w:w="2357"/>
            <w:tcMar>
              <w:top w:type="dxa" w:w="70"/>
              <w:left w:type="dxa" w:w="100"/>
              <w:bottom w:type="dxa" w:w="70"/>
              <w:right w:type="dxa" w:w="100"/>
            </w:tcMar>
            <w:vAlign w:val="top"/>
          </w:tcPr>
          <w:p>
            <w:pPr>
              <w:spacing w:after="0" w:line="252"/>
              <w:jc w:val="left"/>
            </w:pPr>
          </w:p>
        </w:tc>
        <w:tc>
          <w:tcPr>
            <w:tcW w:type="dxa" w:w="235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Exit ticket.</w:t>
      </w:r>
      <w:r>
        <w:rPr>
          <w:sz w:val="22"/>
          <w:szCs w:val="22"/>
        </w:rPr>
        <w:t xml:space="preserve"> Write one paragraph. Claim whether your diverging scale or the rainbow indicator chart better shows Stannary's customers where their water sits compared with neutral. Support your claim with the gray step numbers your partner recorded. Then describe one reason someone might prefer the rainbow, and answer it.</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Designing a Diverging pH Color Scale for the Stannary Water Report</w:t>
      </w:r>
    </w:p>
    <w:p>
      <w:pPr>
        <w:keepNext/>
        <w:spacing w:after="160"/>
      </w:pPr>
      <w:r>
        <w:rPr>
          <w:color w:val="5B6B70"/>
          <w:sz w:val="20"/>
          <w:szCs w:val="20"/>
        </w:rPr>
        <w:t xml:space="preserve">Lesson plan · Grade 8 · Art &amp; Music</w:t>
      </w:r>
    </w:p>
    <w:p>
      <w:pPr>
        <w:spacing w:after="100" w:line="264"/>
      </w:pPr>
      <w:r>
        <w:rPr>
          <w:b/>
          <w:bCs/>
          <w:sz w:val="22"/>
          <w:szCs w:val="22"/>
        </w:rPr>
        <w:t xml:space="preserve">Partner gray check, expected pattern:</w:t>
      </w:r>
      <w:r>
        <w:rPr>
          <w:sz w:val="22"/>
          <w:szCs w:val="22"/>
        </w:rPr>
        <w:t xml:space="preserve"> A successful design shows the lowest gray step number at pH 7 (usually 1 or 2), with the numbers rising in both directions and roughly matching at equal distances from 7. A typical result is pH 1 at step 7, pH 4 at step 4, pH 7 at step 1, pH 10 at step 4, and pH 13 at step 7. Exact numbers will vary with each student's colors and pressure, so any design whose numbers are lowest at 7 and rise in both directions meets the goal. If the lowest number falls somewhere other than 7, or if one side jumps several steps darker than the other at the same distance from 7, the design needs revision.</w:t>
      </w:r>
    </w:p>
    <w:p>
      <w:pPr>
        <w:spacing w:after="100" w:line="264"/>
      </w:pPr>
      <w:r>
        <w:rPr>
          <w:b/>
          <w:bCs/>
          <w:sz w:val="22"/>
          <w:szCs w:val="22"/>
        </w:rPr>
        <w:t xml:space="preserve">Exit ticket, expected answer:</w:t>
      </w:r>
      <w:r>
        <w:rPr>
          <w:sz w:val="22"/>
          <w:szCs w:val="22"/>
        </w:rPr>
        <w:t xml:space="preserve"> A strong paragraph makes a clear claim, usually that the diverging scale works better, and supports it with the recorded numbers, for example: "My partner matched box 7 to gray step 1 and boxes 4 and 10 both to step 4, so even in a black-and-white copy a reader can find neutral and see that Stannary's 7.8 is just on the basic side." It then names a real opposing reason, such as that the rainbow is familiar from pH strips or looks more colorful, and answers it, for example by noting that the rainbow's lightest band sits near pH 5 or 6 and that the rainbow's colors come from one particular indicator dye rather than from pH itself. A student who argues for the rainbow can earn full credit only by citing evidence that it reads correctly in gray, which is unlikely. Paragraphs that praise a scale as "prettier" or "clearer" without citing a recorded number should be returned with a request for evidence.</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a Diverging pH Color Scale for the Stannary Water Report</dc:title>
  <dc:subject>Lesson plan · Grade 8 · Art &amp; Music</dc:subject>
  <dc:creator>Water for Schools</dc:creator>
  <cp:keywords>Lesson plan, Grade 8, Art &amp; Music</cp:keywords>
  <dc:description>A grade 8 art lesson in which students design the pH graphic for a fictional town's water quality report, using a diverging color scale checked in grayscale.</dc:description>
  <cp:lastModifiedBy>Water for Schools</cp:lastModifiedBy>
  <cp:revision>1</cp:revision>
  <dcterms:created xsi:type="dcterms:W3CDTF">2026-10-19T16:28:50.475Z</dcterms:created>
  <dcterms:modified xsi:type="dcterms:W3CDTF">2026-10-19T16:28:50.475Z</dcterms:modified>
</cp:coreProperties>
</file>

<file path=docProps/custom.xml><?xml version="1.0" encoding="utf-8"?>
<Properties xmlns="http://schemas.openxmlformats.org/officeDocument/2006/custom-properties" xmlns:vt="http://schemas.openxmlformats.org/officeDocument/2006/docPropsVTypes"/>
</file>