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Draythorne's Pump Overhaul Plan: A Maintenance Planner Project</w:t>
      </w:r>
    </w:p>
    <w:p>
      <w:pPr>
        <w:keepNext/>
        <w:spacing w:after="160"/>
      </w:pPr>
      <w:r>
        <w:rPr>
          <w:color w:val="5B6B70"/>
          <w:sz w:val="20"/>
          <w:szCs w:val="20"/>
        </w:rPr>
        <w:t xml:space="preserve">Project · Grade 10 · Careers &amp; CTE</w:t>
      </w:r>
    </w:p>
    <w:p>
      <w:pPr>
        <w:spacing w:after="100" w:line="264"/>
      </w:pPr>
      <w:r>
        <w:rPr>
          <w:i/>
          <w:iCs/>
          <w:color w:val="12333F"/>
          <w:sz w:val="22"/>
          <w:szCs w:val="22"/>
        </w:rPr>
        <w:t xml:space="preserve">A grade 10 careers project where teams act as maintenance planners, ranking seven pumps by cost per added service year and scheduling a year of overhauls.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Teacher-provided pump asset data sheet</w:t>
            </w:r>
          </w:p>
          <w:p>
            <w:pPr>
              <w:spacing w:after="0"/>
            </w:pPr>
            <w:r>
              <w:rPr>
                <w:sz w:val="20"/>
                <w:szCs w:val="20"/>
              </w:rPr>
              <w:t xml:space="preserve">• Printed twelve-month calendar grid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rank capital repair options by cost per added year of service rather than by equipment age.</w:t>
      </w:r>
    </w:p>
    <w:p>
      <w:pPr>
        <w:pStyle w:val="ListParagraph"/>
        <w:keepNext/>
        <w:keepLines/>
        <w:numPr>
          <w:ilvl w:val="0"/>
          <w:numId w:val="2"/>
        </w:numPr>
        <w:spacing w:after="60" w:line="264"/>
        <w:ind w:left="720" w:hanging="360"/>
      </w:pPr>
      <w:r>
        <w:rPr>
          <w:sz w:val="22"/>
          <w:szCs w:val="22"/>
        </w:rPr>
        <w:t xml:space="preserve">Students will represent a maintenance budget and a labor limit as inequalities and test candidate packages against both.</w:t>
      </w:r>
    </w:p>
    <w:p>
      <w:pPr>
        <w:pStyle w:val="ListParagraph"/>
        <w:keepLines/>
        <w:numPr>
          <w:ilvl w:val="0"/>
          <w:numId w:val="2"/>
        </w:numPr>
        <w:spacing w:after="60" w:line="264"/>
        <w:ind w:left="720" w:hanging="360"/>
      </w:pPr>
      <w:r>
        <w:rPr>
          <w:sz w:val="22"/>
          <w:szCs w:val="22"/>
        </w:rPr>
        <w:t xml:space="preserve">Students will build a work-order schedule that respects peak-season, redundancy, and operator certification requirements.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In Milestone 2 teams write a budget inequality and a crew-hour inequality, then judge each candidate overhaul package viable or not viable, which is the constraint modeling this standard names.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Milestone 1 weighs each pump's rebuild cost against the added service years it buys, and the final memo argues from that marginal cost comparison as this standard requires.</w:t>
      </w:r>
    </w:p>
    <w:p>
      <w:pPr>
        <w:pStyle w:val="Heading2"/>
        <w:keepNext/>
        <w:keepLines/>
      </w:pPr>
      <w:r>
        <w:rPr>
          <w:sz w:val="28"/>
          <w:szCs w:val="28"/>
        </w:rPr>
        <w:t xml:space="preserve">Vocabulary</w:t>
      </w:r>
    </w:p>
    <w:p>
      <w:pPr>
        <w:keepNext/>
        <w:spacing w:after="80" w:line="264"/>
      </w:pPr>
      <w:r>
        <w:rPr>
          <w:b/>
          <w:bCs/>
          <w:sz w:val="22"/>
          <w:szCs w:val="22"/>
        </w:rPr>
        <w:t xml:space="preserve">Asset management</w:t>
      </w:r>
      <w:r>
        <w:rPr>
          <w:sz w:val="22"/>
          <w:szCs w:val="22"/>
        </w:rPr>
        <w:t xml:space="preserve">: The practice of keeping track of everything a utility owns, like pipes and pumps, and planning the smartest times to fix or replace each one. It helps spend repair money wisely.</w:t>
      </w:r>
    </w:p>
    <w:p>
      <w:pPr>
        <w:spacing w:after="100" w:line="264"/>
      </w:pPr>
      <w:r>
        <w:rPr>
          <w:b/>
          <w:bCs/>
          <w:sz w:val="22"/>
          <w:szCs w:val="22"/>
        </w:rPr>
        <w:t xml:space="preserve">Also: </w:t>
      </w:r>
      <w:r>
        <w:rPr>
          <w:sz w:val="22"/>
          <w:szCs w:val="22"/>
        </w:rPr>
        <w:t xml:space="preserve">work order, wire-to-water efficiency, overhaul, criticality, crew-hour</w:t>
      </w:r>
    </w:p>
    <w:p>
      <w:pPr>
        <w:pStyle w:val="Heading2"/>
        <w:keepNext/>
        <w:keepLines/>
      </w:pPr>
      <w:r>
        <w:rPr>
          <w:sz w:val="28"/>
          <w:szCs w:val="28"/>
        </w:rPr>
        <w:t xml:space="preserve">Teacher overview</w:t>
      </w:r>
    </w:p>
    <w:p>
      <w:pPr>
        <w:spacing w:after="100" w:line="264"/>
      </w:pPr>
      <w:r>
        <w:rPr>
          <w:sz w:val="22"/>
          <w:szCs w:val="22"/>
        </w:rPr>
        <w:t xml:space="preserve">A maintenance planner at a water utility decides, every budget year, which pumps get rebuilt, which get replaced, and which run one more year. Over four sessions, teams take that role at the fictional Draythorne Water Works, where seven pumps compete for one repair budget and one small crew. The misconception this project is built to correct is the belief that the oldest pump is always the one to fix first, because planners rank work by the cost of each added year of service and by how badly the system needs that pump, so a thirty-one-year-old pump can reasonably wait while a newer one is rebuilt. Teams deliver a written maintenance plan and a briefing to the utility's plant manager.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the cost-per-added-year column already computed for the first three pumps, so they can see the pattern before finishing the remaining four rows. Provide a calendar grid with the July and August cells already shaded, along with a worked example of one inequality built from two pumps.</w:t>
      </w:r>
    </w:p>
    <w:p>
      <w:pPr>
        <w:pStyle w:val="Heading3"/>
        <w:keepNext/>
        <w:keepLines/>
      </w:pPr>
      <w:r>
        <w:rPr>
          <w:sz w:val="24"/>
          <w:szCs w:val="24"/>
        </w:rPr>
        <w:t xml:space="preserve">Extension</w:t>
      </w:r>
    </w:p>
    <w:p>
      <w:pPr>
        <w:spacing w:after="100" w:line="264"/>
      </w:pPr>
      <w:r>
        <w:rPr>
          <w:sz w:val="22"/>
          <w:szCs w:val="22"/>
        </w:rPr>
        <w:t xml:space="preserve">Ask teams to test whether replacing a single pump outright, rather than rebuilding two, produces a lower cost per added year over a fifteen-year horizon, and to state what information they would need from the manufacturer to answer that question with confidence.</w:t>
      </w:r>
    </w:p>
    <w:p>
      <w:pPr>
        <w:pStyle w:val="Heading3"/>
        <w:keepNext/>
        <w:keepLines/>
      </w:pPr>
      <w:r>
        <w:rPr>
          <w:sz w:val="24"/>
          <w:szCs w:val="24"/>
        </w:rPr>
        <w:t xml:space="preserve">ELL supports</w:t>
      </w:r>
    </w:p>
    <w:p>
      <w:pPr>
        <w:spacing w:after="100" w:line="264"/>
      </w:pPr>
      <w:r>
        <w:rPr>
          <w:sz w:val="22"/>
          <w:szCs w:val="22"/>
        </w:rPr>
        <w:t xml:space="preserve">Pre-teach the terms overhaul, work order, criticality, and crew-hour with a labeled diagram of a pump and motor set. Allow the memo's defense paragraph to be delivered orally to the teacher before it is written, and provide a sentence frame for the viability verdict.</w:t>
      </w:r>
    </w:p>
    <w:p>
      <w:pPr>
        <w:pStyle w:val="Heading2"/>
        <w:keepNext/>
        <w:keepLines/>
      </w:pPr>
      <w:r>
        <w:rPr>
          <w:sz w:val="28"/>
          <w:szCs w:val="28"/>
        </w:rPr>
        <w:t xml:space="preserve">Extensions</w:t>
      </w:r>
    </w:p>
    <w:p>
      <w:pPr>
        <w:spacing w:after="100" w:line="264"/>
      </w:pPr>
      <w:r>
        <w:rPr>
          <w:sz w:val="22"/>
          <w:szCs w:val="22"/>
        </w:rPr>
        <w:t xml:space="preserve">Invite a maintenance planner or a public works supervisor to review two teams' calendars and describe how their own agency sets repair priorities. Teams can also convert their chosen package into a bar chart of spending by station, then discuss whether the station with the oldest equipment should always receive the largest share of a repair budget.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Draythorne's Pump Overhaul Plan: A Maintenance Planner Project</w:t>
      </w:r>
    </w:p>
    <w:p>
      <w:pPr>
        <w:keepNext/>
        <w:spacing w:after="160"/>
      </w:pPr>
      <w:r>
        <w:rPr>
          <w:color w:val="5B6B70"/>
          <w:sz w:val="20"/>
          <w:szCs w:val="20"/>
        </w:rPr>
        <w:t xml:space="preserve">Grade 10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Which of the seven pumps should be rebuilt this year, which should be replaced, and which should wait?</w:t>
      </w:r>
    </w:p>
    <w:p>
      <w:pPr>
        <w:spacing w:after="120" w:line="276"/>
      </w:pPr>
      <w:r>
        <w:rPr>
          <w:b/>
          <w:bCs/>
          <w:sz w:val="22"/>
          <w:szCs w:val="22"/>
        </w:rPr>
        <w:t xml:space="preserve">Scenario:</w:t>
      </w:r>
      <w:r>
        <w:rPr>
          <w:sz w:val="22"/>
          <w:szCs w:val="22"/>
        </w:rPr>
        <w:t xml:space="preserve"> Draythorne Water Works is a fictional utility. It serves a town of about 18,000 people from three pump stations. The plant manager wants a one-year repair plan from each team. She has heard every version of the claim that old gear must be replaced first, and she will ask hard questions.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Given data, from the fictional asset data sheet each team receives: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64"/>
        <w:gridCol w:w="1817"/>
        <w:gridCol w:w="1019"/>
        <w:gridCol w:w="1469"/>
        <w:gridCol w:w="1275"/>
        <w:gridCol w:w="1525"/>
        <w:gridCol w:w="1517"/>
        <w:gridCol w:w="1509"/>
        <w:gridCol w:w="1485"/>
        <w:gridCol w:w="1400"/>
      </w:tblGrid>
      <w:tr>
        <w:trPr>
          <w:cantSplit/>
          <w:tblHeader/>
        </w:trPr>
        <w:tc>
          <w:tcPr>
            <w:tcW w:type="dxa" w:w="66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Pump</w:t>
            </w:r>
          </w:p>
        </w:tc>
        <w:tc>
          <w:tcPr>
            <w:tcW w:type="dxa" w:w="181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Station</w:t>
            </w:r>
          </w:p>
        </w:tc>
        <w:tc>
          <w:tcPr>
            <w:tcW w:type="dxa" w:w="101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Age</w:t>
            </w:r>
          </w:p>
        </w:tc>
        <w:tc>
          <w:tcPr>
            <w:tcW w:type="dxa" w:w="146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Run hours per year</w:t>
            </w:r>
          </w:p>
        </w:tc>
        <w:tc>
          <w:tcPr>
            <w:tcW w:type="dxa" w:w="1275"/>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Efficiency</w:t>
            </w:r>
          </w:p>
        </w:tc>
        <w:tc>
          <w:tcPr>
            <w:tcW w:type="dxa" w:w="1525"/>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Rebuild cost</w:t>
            </w:r>
          </w:p>
        </w:tc>
        <w:tc>
          <w:tcPr>
            <w:tcW w:type="dxa" w:w="151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Replacement cost</w:t>
            </w:r>
          </w:p>
        </w:tc>
        <w:tc>
          <w:tcPr>
            <w:tcW w:type="dxa" w:w="150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Crew-hours to rebuild</w:t>
            </w:r>
          </w:p>
        </w:tc>
        <w:tc>
          <w:tcPr>
            <w:tcW w:type="dxa" w:w="1485"/>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Added service life</w:t>
            </w:r>
          </w:p>
        </w:tc>
        <w:tc>
          <w:tcPr>
            <w:tcW w:type="dxa" w:w="140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Criticality</w:t>
            </w:r>
          </w:p>
        </w:tc>
      </w:tr>
      <w:tr>
        <w:trPr>
          <w:cantSplit/>
        </w:trPr>
        <w:tc>
          <w:tcPr>
            <w:tcW w:type="dxa" w:w="664"/>
            <w:tcMar>
              <w:top w:type="dxa" w:w="70"/>
              <w:left w:type="dxa" w:w="100"/>
              <w:bottom w:type="dxa" w:w="70"/>
              <w:right w:type="dxa" w:w="100"/>
            </w:tcMar>
            <w:vAlign w:val="top"/>
          </w:tcPr>
          <w:p>
            <w:pPr>
              <w:keepNext/>
              <w:spacing w:after="0" w:line="252"/>
              <w:jc w:val="left"/>
            </w:pPr>
            <w:r>
              <w:rPr>
                <w:sz w:val="18"/>
                <w:szCs w:val="18"/>
              </w:rPr>
              <w:t xml:space="preserve">A</w:t>
            </w:r>
          </w:p>
        </w:tc>
        <w:tc>
          <w:tcPr>
            <w:tcW w:type="dxa" w:w="1817"/>
            <w:tcMar>
              <w:top w:type="dxa" w:w="70"/>
              <w:left w:type="dxa" w:w="100"/>
              <w:bottom w:type="dxa" w:w="70"/>
              <w:right w:type="dxa" w:w="100"/>
            </w:tcMar>
            <w:vAlign w:val="top"/>
          </w:tcPr>
          <w:p>
            <w:pPr>
              <w:keepNext/>
              <w:spacing w:after="0" w:line="252"/>
              <w:jc w:val="left"/>
            </w:pPr>
            <w:r>
              <w:rPr>
                <w:sz w:val="18"/>
                <w:szCs w:val="18"/>
              </w:rPr>
              <w:t xml:space="preserve">Velbury Hill</w:t>
            </w:r>
          </w:p>
        </w:tc>
        <w:tc>
          <w:tcPr>
            <w:tcW w:type="dxa" w:w="1019"/>
            <w:tcMar>
              <w:top w:type="dxa" w:w="70"/>
              <w:left w:type="dxa" w:w="100"/>
              <w:bottom w:type="dxa" w:w="70"/>
              <w:right w:type="dxa" w:w="100"/>
            </w:tcMar>
            <w:vAlign w:val="top"/>
          </w:tcPr>
          <w:p>
            <w:pPr>
              <w:keepNext/>
              <w:spacing w:after="0" w:line="252"/>
              <w:jc w:val="left"/>
            </w:pPr>
            <w:r>
              <w:rPr>
                <w:sz w:val="18"/>
                <w:szCs w:val="18"/>
              </w:rPr>
              <w:t xml:space="preserve">22 years</w:t>
            </w:r>
          </w:p>
        </w:tc>
        <w:tc>
          <w:tcPr>
            <w:tcW w:type="dxa" w:w="1469"/>
            <w:tcMar>
              <w:top w:type="dxa" w:w="70"/>
              <w:left w:type="dxa" w:w="100"/>
              <w:bottom w:type="dxa" w:w="70"/>
              <w:right w:type="dxa" w:w="100"/>
            </w:tcMar>
            <w:vAlign w:val="top"/>
          </w:tcPr>
          <w:p>
            <w:pPr>
              <w:keepNext/>
              <w:spacing w:after="0" w:line="252"/>
              <w:jc w:val="left"/>
            </w:pPr>
            <w:r>
              <w:rPr>
                <w:sz w:val="18"/>
                <w:szCs w:val="18"/>
              </w:rPr>
              <w:t xml:space="preserve">3,100</w:t>
            </w:r>
          </w:p>
        </w:tc>
        <w:tc>
          <w:tcPr>
            <w:tcW w:type="dxa" w:w="1275"/>
            <w:tcMar>
              <w:top w:type="dxa" w:w="70"/>
              <w:left w:type="dxa" w:w="100"/>
              <w:bottom w:type="dxa" w:w="70"/>
              <w:right w:type="dxa" w:w="100"/>
            </w:tcMar>
            <w:vAlign w:val="top"/>
          </w:tcPr>
          <w:p>
            <w:pPr>
              <w:keepNext/>
              <w:spacing w:after="0" w:line="252"/>
              <w:jc w:val="left"/>
            </w:pPr>
            <w:r>
              <w:rPr>
                <w:sz w:val="18"/>
                <w:szCs w:val="18"/>
              </w:rPr>
              <w:t xml:space="preserve">61%</w:t>
            </w:r>
          </w:p>
        </w:tc>
        <w:tc>
          <w:tcPr>
            <w:tcW w:type="dxa" w:w="1525"/>
            <w:tcMar>
              <w:top w:type="dxa" w:w="70"/>
              <w:left w:type="dxa" w:w="100"/>
              <w:bottom w:type="dxa" w:w="70"/>
              <w:right w:type="dxa" w:w="100"/>
            </w:tcMar>
            <w:vAlign w:val="top"/>
          </w:tcPr>
          <w:p>
            <w:pPr>
              <w:keepNext/>
              <w:spacing w:after="0" w:line="252"/>
              <w:jc w:val="left"/>
            </w:pPr>
            <w:r>
              <w:rPr>
                <w:sz w:val="18"/>
                <w:szCs w:val="18"/>
              </w:rPr>
              <w:t xml:space="preserve">$28,000</w:t>
            </w:r>
          </w:p>
        </w:tc>
        <w:tc>
          <w:tcPr>
            <w:tcW w:type="dxa" w:w="1517"/>
            <w:tcMar>
              <w:top w:type="dxa" w:w="70"/>
              <w:left w:type="dxa" w:w="100"/>
              <w:bottom w:type="dxa" w:w="70"/>
              <w:right w:type="dxa" w:w="100"/>
            </w:tcMar>
            <w:vAlign w:val="top"/>
          </w:tcPr>
          <w:p>
            <w:pPr>
              <w:keepNext/>
              <w:spacing w:after="0" w:line="252"/>
              <w:jc w:val="left"/>
            </w:pPr>
            <w:r>
              <w:rPr>
                <w:sz w:val="18"/>
                <w:szCs w:val="18"/>
              </w:rPr>
              <w:t xml:space="preserve">$96,000</w:t>
            </w:r>
          </w:p>
        </w:tc>
        <w:tc>
          <w:tcPr>
            <w:tcW w:type="dxa" w:w="1509"/>
            <w:tcMar>
              <w:top w:type="dxa" w:w="70"/>
              <w:left w:type="dxa" w:w="100"/>
              <w:bottom w:type="dxa" w:w="70"/>
              <w:right w:type="dxa" w:w="100"/>
            </w:tcMar>
            <w:vAlign w:val="top"/>
          </w:tcPr>
          <w:p>
            <w:pPr>
              <w:keepNext/>
              <w:spacing w:after="0" w:line="252"/>
              <w:jc w:val="left"/>
            </w:pPr>
            <w:r>
              <w:rPr>
                <w:sz w:val="18"/>
                <w:szCs w:val="18"/>
              </w:rPr>
              <w:t xml:space="preserve">60</w:t>
            </w:r>
          </w:p>
        </w:tc>
        <w:tc>
          <w:tcPr>
            <w:tcW w:type="dxa" w:w="1485"/>
            <w:tcMar>
              <w:top w:type="dxa" w:w="70"/>
              <w:left w:type="dxa" w:w="100"/>
              <w:bottom w:type="dxa" w:w="70"/>
              <w:right w:type="dxa" w:w="100"/>
            </w:tcMar>
            <w:vAlign w:val="top"/>
          </w:tcPr>
          <w:p>
            <w:pPr>
              <w:keepNext/>
              <w:spacing w:after="0" w:line="252"/>
              <w:jc w:val="left"/>
            </w:pPr>
            <w:r>
              <w:rPr>
                <w:sz w:val="18"/>
                <w:szCs w:val="18"/>
              </w:rPr>
              <w:t xml:space="preserve">8 years</w:t>
            </w:r>
          </w:p>
        </w:tc>
        <w:tc>
          <w:tcPr>
            <w:tcW w:type="dxa" w:w="1400"/>
            <w:tcMar>
              <w:top w:type="dxa" w:w="70"/>
              <w:left w:type="dxa" w:w="100"/>
              <w:bottom w:type="dxa" w:w="70"/>
              <w:right w:type="dxa" w:w="100"/>
            </w:tcMar>
            <w:vAlign w:val="top"/>
          </w:tcPr>
          <w:p>
            <w:pPr>
              <w:keepNext/>
              <w:spacing w:after="0" w:line="252"/>
              <w:jc w:val="left"/>
            </w:pPr>
            <w:r>
              <w:rPr>
                <w:sz w:val="18"/>
                <w:szCs w:val="18"/>
              </w:rPr>
              <w:t xml:space="preserve">High</w:t>
            </w:r>
          </w:p>
        </w:tc>
      </w:tr>
      <w:tr>
        <w:trPr>
          <w:cantSplit/>
        </w:trPr>
        <w:tc>
          <w:tcPr>
            <w:tcW w:type="dxa" w:w="664"/>
            <w:tcMar>
              <w:top w:type="dxa" w:w="70"/>
              <w:left w:type="dxa" w:w="100"/>
              <w:bottom w:type="dxa" w:w="70"/>
              <w:right w:type="dxa" w:w="100"/>
            </w:tcMar>
            <w:vAlign w:val="top"/>
          </w:tcPr>
          <w:p>
            <w:pPr>
              <w:keepNext/>
              <w:spacing w:after="0" w:line="252"/>
              <w:jc w:val="left"/>
            </w:pPr>
            <w:r>
              <w:rPr>
                <w:sz w:val="18"/>
                <w:szCs w:val="18"/>
              </w:rPr>
              <w:t xml:space="preserve">B</w:t>
            </w:r>
          </w:p>
        </w:tc>
        <w:tc>
          <w:tcPr>
            <w:tcW w:type="dxa" w:w="1817"/>
            <w:tcMar>
              <w:top w:type="dxa" w:w="70"/>
              <w:left w:type="dxa" w:w="100"/>
              <w:bottom w:type="dxa" w:w="70"/>
              <w:right w:type="dxa" w:w="100"/>
            </w:tcMar>
            <w:vAlign w:val="top"/>
          </w:tcPr>
          <w:p>
            <w:pPr>
              <w:keepNext/>
              <w:spacing w:after="0" w:line="252"/>
              <w:jc w:val="left"/>
            </w:pPr>
            <w:r>
              <w:rPr>
                <w:sz w:val="18"/>
                <w:szCs w:val="18"/>
              </w:rPr>
              <w:t xml:space="preserve">Velbury Hill</w:t>
            </w:r>
          </w:p>
        </w:tc>
        <w:tc>
          <w:tcPr>
            <w:tcW w:type="dxa" w:w="1019"/>
            <w:tcMar>
              <w:top w:type="dxa" w:w="70"/>
              <w:left w:type="dxa" w:w="100"/>
              <w:bottom w:type="dxa" w:w="70"/>
              <w:right w:type="dxa" w:w="100"/>
            </w:tcMar>
            <w:vAlign w:val="top"/>
          </w:tcPr>
          <w:p>
            <w:pPr>
              <w:keepNext/>
              <w:spacing w:after="0" w:line="252"/>
              <w:jc w:val="left"/>
            </w:pPr>
            <w:r>
              <w:rPr>
                <w:sz w:val="18"/>
                <w:szCs w:val="18"/>
              </w:rPr>
              <w:t xml:space="preserve">19 years</w:t>
            </w:r>
          </w:p>
        </w:tc>
        <w:tc>
          <w:tcPr>
            <w:tcW w:type="dxa" w:w="1469"/>
            <w:tcMar>
              <w:top w:type="dxa" w:w="70"/>
              <w:left w:type="dxa" w:w="100"/>
              <w:bottom w:type="dxa" w:w="70"/>
              <w:right w:type="dxa" w:w="100"/>
            </w:tcMar>
            <w:vAlign w:val="top"/>
          </w:tcPr>
          <w:p>
            <w:pPr>
              <w:keepNext/>
              <w:spacing w:after="0" w:line="252"/>
              <w:jc w:val="left"/>
            </w:pPr>
            <w:r>
              <w:rPr>
                <w:sz w:val="18"/>
                <w:szCs w:val="18"/>
              </w:rPr>
              <w:t xml:space="preserve">2,400</w:t>
            </w:r>
          </w:p>
        </w:tc>
        <w:tc>
          <w:tcPr>
            <w:tcW w:type="dxa" w:w="1275"/>
            <w:tcMar>
              <w:top w:type="dxa" w:w="70"/>
              <w:left w:type="dxa" w:w="100"/>
              <w:bottom w:type="dxa" w:w="70"/>
              <w:right w:type="dxa" w:w="100"/>
            </w:tcMar>
            <w:vAlign w:val="top"/>
          </w:tcPr>
          <w:p>
            <w:pPr>
              <w:keepNext/>
              <w:spacing w:after="0" w:line="252"/>
              <w:jc w:val="left"/>
            </w:pPr>
            <w:r>
              <w:rPr>
                <w:sz w:val="18"/>
                <w:szCs w:val="18"/>
              </w:rPr>
              <w:t xml:space="preserve">64%</w:t>
            </w:r>
          </w:p>
        </w:tc>
        <w:tc>
          <w:tcPr>
            <w:tcW w:type="dxa" w:w="1525"/>
            <w:tcMar>
              <w:top w:type="dxa" w:w="70"/>
              <w:left w:type="dxa" w:w="100"/>
              <w:bottom w:type="dxa" w:w="70"/>
              <w:right w:type="dxa" w:w="100"/>
            </w:tcMar>
            <w:vAlign w:val="top"/>
          </w:tcPr>
          <w:p>
            <w:pPr>
              <w:keepNext/>
              <w:spacing w:after="0" w:line="252"/>
              <w:jc w:val="left"/>
            </w:pPr>
            <w:r>
              <w:rPr>
                <w:sz w:val="18"/>
                <w:szCs w:val="18"/>
              </w:rPr>
              <w:t xml:space="preserve">$24,000</w:t>
            </w:r>
          </w:p>
        </w:tc>
        <w:tc>
          <w:tcPr>
            <w:tcW w:type="dxa" w:w="1517"/>
            <w:tcMar>
              <w:top w:type="dxa" w:w="70"/>
              <w:left w:type="dxa" w:w="100"/>
              <w:bottom w:type="dxa" w:w="70"/>
              <w:right w:type="dxa" w:w="100"/>
            </w:tcMar>
            <w:vAlign w:val="top"/>
          </w:tcPr>
          <w:p>
            <w:pPr>
              <w:keepNext/>
              <w:spacing w:after="0" w:line="252"/>
              <w:jc w:val="left"/>
            </w:pPr>
            <w:r>
              <w:rPr>
                <w:sz w:val="18"/>
                <w:szCs w:val="18"/>
              </w:rPr>
              <w:t xml:space="preserve">$88,000</w:t>
            </w:r>
          </w:p>
        </w:tc>
        <w:tc>
          <w:tcPr>
            <w:tcW w:type="dxa" w:w="1509"/>
            <w:tcMar>
              <w:top w:type="dxa" w:w="70"/>
              <w:left w:type="dxa" w:w="100"/>
              <w:bottom w:type="dxa" w:w="70"/>
              <w:right w:type="dxa" w:w="100"/>
            </w:tcMar>
            <w:vAlign w:val="top"/>
          </w:tcPr>
          <w:p>
            <w:pPr>
              <w:keepNext/>
              <w:spacing w:after="0" w:line="252"/>
              <w:jc w:val="left"/>
            </w:pPr>
            <w:r>
              <w:rPr>
                <w:sz w:val="18"/>
                <w:szCs w:val="18"/>
              </w:rPr>
              <w:t xml:space="preserve">48</w:t>
            </w:r>
          </w:p>
        </w:tc>
        <w:tc>
          <w:tcPr>
            <w:tcW w:type="dxa" w:w="1485"/>
            <w:tcMar>
              <w:top w:type="dxa" w:w="70"/>
              <w:left w:type="dxa" w:w="100"/>
              <w:bottom w:type="dxa" w:w="70"/>
              <w:right w:type="dxa" w:w="100"/>
            </w:tcMar>
            <w:vAlign w:val="top"/>
          </w:tcPr>
          <w:p>
            <w:pPr>
              <w:keepNext/>
              <w:spacing w:after="0" w:line="252"/>
              <w:jc w:val="left"/>
            </w:pPr>
            <w:r>
              <w:rPr>
                <w:sz w:val="18"/>
                <w:szCs w:val="18"/>
              </w:rPr>
              <w:t xml:space="preserve">7 years</w:t>
            </w:r>
          </w:p>
        </w:tc>
        <w:tc>
          <w:tcPr>
            <w:tcW w:type="dxa" w:w="1400"/>
            <w:tcMar>
              <w:top w:type="dxa" w:w="70"/>
              <w:left w:type="dxa" w:w="100"/>
              <w:bottom w:type="dxa" w:w="70"/>
              <w:right w:type="dxa" w:w="100"/>
            </w:tcMar>
            <w:vAlign w:val="top"/>
          </w:tcPr>
          <w:p>
            <w:pPr>
              <w:keepNext/>
              <w:spacing w:after="0" w:line="252"/>
              <w:jc w:val="left"/>
            </w:pPr>
            <w:r>
              <w:rPr>
                <w:sz w:val="18"/>
                <w:szCs w:val="18"/>
              </w:rPr>
              <w:t xml:space="preserve">High</w:t>
            </w:r>
          </w:p>
        </w:tc>
      </w:tr>
      <w:tr>
        <w:trPr>
          <w:cantSplit/>
        </w:trPr>
        <w:tc>
          <w:tcPr>
            <w:tcW w:type="dxa" w:w="664"/>
            <w:tcMar>
              <w:top w:type="dxa" w:w="70"/>
              <w:left w:type="dxa" w:w="100"/>
              <w:bottom w:type="dxa" w:w="70"/>
              <w:right w:type="dxa" w:w="100"/>
            </w:tcMar>
            <w:vAlign w:val="top"/>
          </w:tcPr>
          <w:p>
            <w:pPr>
              <w:keepNext/>
              <w:spacing w:after="0" w:line="252"/>
              <w:jc w:val="left"/>
            </w:pPr>
            <w:r>
              <w:rPr>
                <w:sz w:val="18"/>
                <w:szCs w:val="18"/>
              </w:rPr>
              <w:t xml:space="preserve">C</w:t>
            </w:r>
          </w:p>
        </w:tc>
        <w:tc>
          <w:tcPr>
            <w:tcW w:type="dxa" w:w="1817"/>
            <w:tcMar>
              <w:top w:type="dxa" w:w="70"/>
              <w:left w:type="dxa" w:w="100"/>
              <w:bottom w:type="dxa" w:w="70"/>
              <w:right w:type="dxa" w:w="100"/>
            </w:tcMar>
            <w:vAlign w:val="top"/>
          </w:tcPr>
          <w:p>
            <w:pPr>
              <w:keepNext/>
              <w:spacing w:after="0" w:line="252"/>
              <w:jc w:val="left"/>
            </w:pPr>
            <w:r>
              <w:rPr>
                <w:sz w:val="18"/>
                <w:szCs w:val="18"/>
              </w:rPr>
              <w:t xml:space="preserve">Dornoch Road</w:t>
            </w:r>
          </w:p>
        </w:tc>
        <w:tc>
          <w:tcPr>
            <w:tcW w:type="dxa" w:w="1019"/>
            <w:tcMar>
              <w:top w:type="dxa" w:w="70"/>
              <w:left w:type="dxa" w:w="100"/>
              <w:bottom w:type="dxa" w:w="70"/>
              <w:right w:type="dxa" w:w="100"/>
            </w:tcMar>
            <w:vAlign w:val="top"/>
          </w:tcPr>
          <w:p>
            <w:pPr>
              <w:keepNext/>
              <w:spacing w:after="0" w:line="252"/>
              <w:jc w:val="left"/>
            </w:pPr>
            <w:r>
              <w:rPr>
                <w:sz w:val="18"/>
                <w:szCs w:val="18"/>
              </w:rPr>
              <w:t xml:space="preserve">14 years</w:t>
            </w:r>
          </w:p>
        </w:tc>
        <w:tc>
          <w:tcPr>
            <w:tcW w:type="dxa" w:w="1469"/>
            <w:tcMar>
              <w:top w:type="dxa" w:w="70"/>
              <w:left w:type="dxa" w:w="100"/>
              <w:bottom w:type="dxa" w:w="70"/>
              <w:right w:type="dxa" w:w="100"/>
            </w:tcMar>
            <w:vAlign w:val="top"/>
          </w:tcPr>
          <w:p>
            <w:pPr>
              <w:keepNext/>
              <w:spacing w:after="0" w:line="252"/>
              <w:jc w:val="left"/>
            </w:pPr>
            <w:r>
              <w:rPr>
                <w:sz w:val="18"/>
                <w:szCs w:val="18"/>
              </w:rPr>
              <w:t xml:space="preserve">1,900</w:t>
            </w:r>
          </w:p>
        </w:tc>
        <w:tc>
          <w:tcPr>
            <w:tcW w:type="dxa" w:w="1275"/>
            <w:tcMar>
              <w:top w:type="dxa" w:w="70"/>
              <w:left w:type="dxa" w:w="100"/>
              <w:bottom w:type="dxa" w:w="70"/>
              <w:right w:type="dxa" w:w="100"/>
            </w:tcMar>
            <w:vAlign w:val="top"/>
          </w:tcPr>
          <w:p>
            <w:pPr>
              <w:keepNext/>
              <w:spacing w:after="0" w:line="252"/>
              <w:jc w:val="left"/>
            </w:pPr>
            <w:r>
              <w:rPr>
                <w:sz w:val="18"/>
                <w:szCs w:val="18"/>
              </w:rPr>
              <w:t xml:space="preserve">71%</w:t>
            </w:r>
          </w:p>
        </w:tc>
        <w:tc>
          <w:tcPr>
            <w:tcW w:type="dxa" w:w="1525"/>
            <w:tcMar>
              <w:top w:type="dxa" w:w="70"/>
              <w:left w:type="dxa" w:w="100"/>
              <w:bottom w:type="dxa" w:w="70"/>
              <w:right w:type="dxa" w:w="100"/>
            </w:tcMar>
            <w:vAlign w:val="top"/>
          </w:tcPr>
          <w:p>
            <w:pPr>
              <w:keepNext/>
              <w:spacing w:after="0" w:line="252"/>
              <w:jc w:val="left"/>
            </w:pPr>
            <w:r>
              <w:rPr>
                <w:sz w:val="18"/>
                <w:szCs w:val="18"/>
              </w:rPr>
              <w:t xml:space="preserve">$18,000</w:t>
            </w:r>
          </w:p>
        </w:tc>
        <w:tc>
          <w:tcPr>
            <w:tcW w:type="dxa" w:w="1517"/>
            <w:tcMar>
              <w:top w:type="dxa" w:w="70"/>
              <w:left w:type="dxa" w:w="100"/>
              <w:bottom w:type="dxa" w:w="70"/>
              <w:right w:type="dxa" w:w="100"/>
            </w:tcMar>
            <w:vAlign w:val="top"/>
          </w:tcPr>
          <w:p>
            <w:pPr>
              <w:keepNext/>
              <w:spacing w:after="0" w:line="252"/>
              <w:jc w:val="left"/>
            </w:pPr>
            <w:r>
              <w:rPr>
                <w:sz w:val="18"/>
                <w:szCs w:val="18"/>
              </w:rPr>
              <w:t xml:space="preserve">$74,000</w:t>
            </w:r>
          </w:p>
        </w:tc>
        <w:tc>
          <w:tcPr>
            <w:tcW w:type="dxa" w:w="1509"/>
            <w:tcMar>
              <w:top w:type="dxa" w:w="70"/>
              <w:left w:type="dxa" w:w="100"/>
              <w:bottom w:type="dxa" w:w="70"/>
              <w:right w:type="dxa" w:w="100"/>
            </w:tcMar>
            <w:vAlign w:val="top"/>
          </w:tcPr>
          <w:p>
            <w:pPr>
              <w:keepNext/>
              <w:spacing w:after="0" w:line="252"/>
              <w:jc w:val="left"/>
            </w:pPr>
            <w:r>
              <w:rPr>
                <w:sz w:val="18"/>
                <w:szCs w:val="18"/>
              </w:rPr>
              <w:t xml:space="preserve">40</w:t>
            </w:r>
          </w:p>
        </w:tc>
        <w:tc>
          <w:tcPr>
            <w:tcW w:type="dxa" w:w="1485"/>
            <w:tcMar>
              <w:top w:type="dxa" w:w="70"/>
              <w:left w:type="dxa" w:w="100"/>
              <w:bottom w:type="dxa" w:w="70"/>
              <w:right w:type="dxa" w:w="100"/>
            </w:tcMar>
            <w:vAlign w:val="top"/>
          </w:tcPr>
          <w:p>
            <w:pPr>
              <w:keepNext/>
              <w:spacing w:after="0" w:line="252"/>
              <w:jc w:val="left"/>
            </w:pPr>
            <w:r>
              <w:rPr>
                <w:sz w:val="18"/>
                <w:szCs w:val="18"/>
              </w:rPr>
              <w:t xml:space="preserve">6 years</w:t>
            </w:r>
          </w:p>
        </w:tc>
        <w:tc>
          <w:tcPr>
            <w:tcW w:type="dxa" w:w="1400"/>
            <w:tcMar>
              <w:top w:type="dxa" w:w="70"/>
              <w:left w:type="dxa" w:w="100"/>
              <w:bottom w:type="dxa" w:w="70"/>
              <w:right w:type="dxa" w:w="100"/>
            </w:tcMar>
            <w:vAlign w:val="top"/>
          </w:tcPr>
          <w:p>
            <w:pPr>
              <w:keepNext/>
              <w:spacing w:after="0" w:line="252"/>
              <w:jc w:val="left"/>
            </w:pPr>
            <w:r>
              <w:rPr>
                <w:sz w:val="18"/>
                <w:szCs w:val="18"/>
              </w:rPr>
              <w:t xml:space="preserve">Medium</w:t>
            </w:r>
          </w:p>
        </w:tc>
      </w:tr>
      <w:tr>
        <w:trPr>
          <w:cantSplit/>
        </w:trPr>
        <w:tc>
          <w:tcPr>
            <w:tcW w:type="dxa" w:w="664"/>
            <w:tcMar>
              <w:top w:type="dxa" w:w="70"/>
              <w:left w:type="dxa" w:w="100"/>
              <w:bottom w:type="dxa" w:w="70"/>
              <w:right w:type="dxa" w:w="100"/>
            </w:tcMar>
            <w:vAlign w:val="top"/>
          </w:tcPr>
          <w:p>
            <w:pPr>
              <w:keepNext/>
              <w:spacing w:after="0" w:line="252"/>
              <w:jc w:val="left"/>
            </w:pPr>
            <w:r>
              <w:rPr>
                <w:sz w:val="18"/>
                <w:szCs w:val="18"/>
              </w:rPr>
              <w:t xml:space="preserve">D</w:t>
            </w:r>
          </w:p>
        </w:tc>
        <w:tc>
          <w:tcPr>
            <w:tcW w:type="dxa" w:w="1817"/>
            <w:tcMar>
              <w:top w:type="dxa" w:w="70"/>
              <w:left w:type="dxa" w:w="100"/>
              <w:bottom w:type="dxa" w:w="70"/>
              <w:right w:type="dxa" w:w="100"/>
            </w:tcMar>
            <w:vAlign w:val="top"/>
          </w:tcPr>
          <w:p>
            <w:pPr>
              <w:keepNext/>
              <w:spacing w:after="0" w:line="252"/>
              <w:jc w:val="left"/>
            </w:pPr>
            <w:r>
              <w:rPr>
                <w:sz w:val="18"/>
                <w:szCs w:val="18"/>
              </w:rPr>
              <w:t xml:space="preserve">Dornoch Road</w:t>
            </w:r>
          </w:p>
        </w:tc>
        <w:tc>
          <w:tcPr>
            <w:tcW w:type="dxa" w:w="1019"/>
            <w:tcMar>
              <w:top w:type="dxa" w:w="70"/>
              <w:left w:type="dxa" w:w="100"/>
              <w:bottom w:type="dxa" w:w="70"/>
              <w:right w:type="dxa" w:w="100"/>
            </w:tcMar>
            <w:vAlign w:val="top"/>
          </w:tcPr>
          <w:p>
            <w:pPr>
              <w:keepNext/>
              <w:spacing w:after="0" w:line="252"/>
              <w:jc w:val="left"/>
            </w:pPr>
            <w:r>
              <w:rPr>
                <w:sz w:val="18"/>
                <w:szCs w:val="18"/>
              </w:rPr>
              <w:t xml:space="preserve">27 years</w:t>
            </w:r>
          </w:p>
        </w:tc>
        <w:tc>
          <w:tcPr>
            <w:tcW w:type="dxa" w:w="1469"/>
            <w:tcMar>
              <w:top w:type="dxa" w:w="70"/>
              <w:left w:type="dxa" w:w="100"/>
              <w:bottom w:type="dxa" w:w="70"/>
              <w:right w:type="dxa" w:w="100"/>
            </w:tcMar>
            <w:vAlign w:val="top"/>
          </w:tcPr>
          <w:p>
            <w:pPr>
              <w:keepNext/>
              <w:spacing w:after="0" w:line="252"/>
              <w:jc w:val="left"/>
            </w:pPr>
            <w:r>
              <w:rPr>
                <w:sz w:val="18"/>
                <w:szCs w:val="18"/>
              </w:rPr>
              <w:t xml:space="preserve">3,600</w:t>
            </w:r>
          </w:p>
        </w:tc>
        <w:tc>
          <w:tcPr>
            <w:tcW w:type="dxa" w:w="1275"/>
            <w:tcMar>
              <w:top w:type="dxa" w:w="70"/>
              <w:left w:type="dxa" w:w="100"/>
              <w:bottom w:type="dxa" w:w="70"/>
              <w:right w:type="dxa" w:w="100"/>
            </w:tcMar>
            <w:vAlign w:val="top"/>
          </w:tcPr>
          <w:p>
            <w:pPr>
              <w:keepNext/>
              <w:spacing w:after="0" w:line="252"/>
              <w:jc w:val="left"/>
            </w:pPr>
            <w:r>
              <w:rPr>
                <w:sz w:val="18"/>
                <w:szCs w:val="18"/>
              </w:rPr>
              <w:t xml:space="preserve">55%</w:t>
            </w:r>
          </w:p>
        </w:tc>
        <w:tc>
          <w:tcPr>
            <w:tcW w:type="dxa" w:w="1525"/>
            <w:tcMar>
              <w:top w:type="dxa" w:w="70"/>
              <w:left w:type="dxa" w:w="100"/>
              <w:bottom w:type="dxa" w:w="70"/>
              <w:right w:type="dxa" w:w="100"/>
            </w:tcMar>
            <w:vAlign w:val="top"/>
          </w:tcPr>
          <w:p>
            <w:pPr>
              <w:keepNext/>
              <w:spacing w:after="0" w:line="252"/>
              <w:jc w:val="left"/>
            </w:pPr>
            <w:r>
              <w:rPr>
                <w:sz w:val="18"/>
                <w:szCs w:val="18"/>
              </w:rPr>
              <w:t xml:space="preserve">$34,000</w:t>
            </w:r>
          </w:p>
        </w:tc>
        <w:tc>
          <w:tcPr>
            <w:tcW w:type="dxa" w:w="1517"/>
            <w:tcMar>
              <w:top w:type="dxa" w:w="70"/>
              <w:left w:type="dxa" w:w="100"/>
              <w:bottom w:type="dxa" w:w="70"/>
              <w:right w:type="dxa" w:w="100"/>
            </w:tcMar>
            <w:vAlign w:val="top"/>
          </w:tcPr>
          <w:p>
            <w:pPr>
              <w:keepNext/>
              <w:spacing w:after="0" w:line="252"/>
              <w:jc w:val="left"/>
            </w:pPr>
            <w:r>
              <w:rPr>
                <w:sz w:val="18"/>
                <w:szCs w:val="18"/>
              </w:rPr>
              <w:t xml:space="preserve">$110,000</w:t>
            </w:r>
          </w:p>
        </w:tc>
        <w:tc>
          <w:tcPr>
            <w:tcW w:type="dxa" w:w="1509"/>
            <w:tcMar>
              <w:top w:type="dxa" w:w="70"/>
              <w:left w:type="dxa" w:w="100"/>
              <w:bottom w:type="dxa" w:w="70"/>
              <w:right w:type="dxa" w:w="100"/>
            </w:tcMar>
            <w:vAlign w:val="top"/>
          </w:tcPr>
          <w:p>
            <w:pPr>
              <w:keepNext/>
              <w:spacing w:after="0" w:line="252"/>
              <w:jc w:val="left"/>
            </w:pPr>
            <w:r>
              <w:rPr>
                <w:sz w:val="18"/>
                <w:szCs w:val="18"/>
              </w:rPr>
              <w:t xml:space="preserve">72</w:t>
            </w:r>
          </w:p>
        </w:tc>
        <w:tc>
          <w:tcPr>
            <w:tcW w:type="dxa" w:w="1485"/>
            <w:tcMar>
              <w:top w:type="dxa" w:w="70"/>
              <w:left w:type="dxa" w:w="100"/>
              <w:bottom w:type="dxa" w:w="70"/>
              <w:right w:type="dxa" w:w="100"/>
            </w:tcMar>
            <w:vAlign w:val="top"/>
          </w:tcPr>
          <w:p>
            <w:pPr>
              <w:keepNext/>
              <w:spacing w:after="0" w:line="252"/>
              <w:jc w:val="left"/>
            </w:pPr>
            <w:r>
              <w:rPr>
                <w:sz w:val="18"/>
                <w:szCs w:val="18"/>
              </w:rPr>
              <w:t xml:space="preserve">5 years</w:t>
            </w:r>
          </w:p>
        </w:tc>
        <w:tc>
          <w:tcPr>
            <w:tcW w:type="dxa" w:w="1400"/>
            <w:tcMar>
              <w:top w:type="dxa" w:w="70"/>
              <w:left w:type="dxa" w:w="100"/>
              <w:bottom w:type="dxa" w:w="70"/>
              <w:right w:type="dxa" w:w="100"/>
            </w:tcMar>
            <w:vAlign w:val="top"/>
          </w:tcPr>
          <w:p>
            <w:pPr>
              <w:keepNext/>
              <w:spacing w:after="0" w:line="252"/>
              <w:jc w:val="left"/>
            </w:pPr>
            <w:r>
              <w:rPr>
                <w:sz w:val="18"/>
                <w:szCs w:val="18"/>
              </w:rPr>
              <w:t xml:space="preserve">High</w:t>
            </w:r>
          </w:p>
        </w:tc>
      </w:tr>
      <w:tr>
        <w:trPr>
          <w:cantSplit/>
        </w:trPr>
        <w:tc>
          <w:tcPr>
            <w:tcW w:type="dxa" w:w="664"/>
            <w:tcMar>
              <w:top w:type="dxa" w:w="70"/>
              <w:left w:type="dxa" w:w="100"/>
              <w:bottom w:type="dxa" w:w="70"/>
              <w:right w:type="dxa" w:w="100"/>
            </w:tcMar>
            <w:vAlign w:val="top"/>
          </w:tcPr>
          <w:p>
            <w:pPr>
              <w:keepNext/>
              <w:spacing w:after="0" w:line="252"/>
              <w:jc w:val="left"/>
            </w:pPr>
            <w:r>
              <w:rPr>
                <w:sz w:val="18"/>
                <w:szCs w:val="18"/>
              </w:rPr>
              <w:t xml:space="preserve">E</w:t>
            </w:r>
          </w:p>
        </w:tc>
        <w:tc>
          <w:tcPr>
            <w:tcW w:type="dxa" w:w="1817"/>
            <w:tcMar>
              <w:top w:type="dxa" w:w="70"/>
              <w:left w:type="dxa" w:w="100"/>
              <w:bottom w:type="dxa" w:w="70"/>
              <w:right w:type="dxa" w:w="100"/>
            </w:tcMar>
            <w:vAlign w:val="top"/>
          </w:tcPr>
          <w:p>
            <w:pPr>
              <w:keepNext/>
              <w:spacing w:after="0" w:line="252"/>
              <w:jc w:val="left"/>
            </w:pPr>
            <w:r>
              <w:rPr>
                <w:sz w:val="18"/>
                <w:szCs w:val="18"/>
              </w:rPr>
              <w:t xml:space="preserve">Stapleton Avenue</w:t>
            </w:r>
          </w:p>
        </w:tc>
        <w:tc>
          <w:tcPr>
            <w:tcW w:type="dxa" w:w="1019"/>
            <w:tcMar>
              <w:top w:type="dxa" w:w="70"/>
              <w:left w:type="dxa" w:w="100"/>
              <w:bottom w:type="dxa" w:w="70"/>
              <w:right w:type="dxa" w:w="100"/>
            </w:tcMar>
            <w:vAlign w:val="top"/>
          </w:tcPr>
          <w:p>
            <w:pPr>
              <w:keepNext/>
              <w:spacing w:after="0" w:line="252"/>
              <w:jc w:val="left"/>
            </w:pPr>
            <w:r>
              <w:rPr>
                <w:sz w:val="18"/>
                <w:szCs w:val="18"/>
              </w:rPr>
              <w:t xml:space="preserve">9 years</w:t>
            </w:r>
          </w:p>
        </w:tc>
        <w:tc>
          <w:tcPr>
            <w:tcW w:type="dxa" w:w="1469"/>
            <w:tcMar>
              <w:top w:type="dxa" w:w="70"/>
              <w:left w:type="dxa" w:w="100"/>
              <w:bottom w:type="dxa" w:w="70"/>
              <w:right w:type="dxa" w:w="100"/>
            </w:tcMar>
            <w:vAlign w:val="top"/>
          </w:tcPr>
          <w:p>
            <w:pPr>
              <w:keepNext/>
              <w:spacing w:after="0" w:line="252"/>
              <w:jc w:val="left"/>
            </w:pPr>
            <w:r>
              <w:rPr>
                <w:sz w:val="18"/>
                <w:szCs w:val="18"/>
              </w:rPr>
              <w:t xml:space="preserve">1,200</w:t>
            </w:r>
          </w:p>
        </w:tc>
        <w:tc>
          <w:tcPr>
            <w:tcW w:type="dxa" w:w="1275"/>
            <w:tcMar>
              <w:top w:type="dxa" w:w="70"/>
              <w:left w:type="dxa" w:w="100"/>
              <w:bottom w:type="dxa" w:w="70"/>
              <w:right w:type="dxa" w:w="100"/>
            </w:tcMar>
            <w:vAlign w:val="top"/>
          </w:tcPr>
          <w:p>
            <w:pPr>
              <w:keepNext/>
              <w:spacing w:after="0" w:line="252"/>
              <w:jc w:val="left"/>
            </w:pPr>
            <w:r>
              <w:rPr>
                <w:sz w:val="18"/>
                <w:szCs w:val="18"/>
              </w:rPr>
              <w:t xml:space="preserve">78%</w:t>
            </w:r>
          </w:p>
        </w:tc>
        <w:tc>
          <w:tcPr>
            <w:tcW w:type="dxa" w:w="1525"/>
            <w:tcMar>
              <w:top w:type="dxa" w:w="70"/>
              <w:left w:type="dxa" w:w="100"/>
              <w:bottom w:type="dxa" w:w="70"/>
              <w:right w:type="dxa" w:w="100"/>
            </w:tcMar>
            <w:vAlign w:val="top"/>
          </w:tcPr>
          <w:p>
            <w:pPr>
              <w:keepNext/>
              <w:spacing w:after="0" w:line="252"/>
              <w:jc w:val="left"/>
            </w:pPr>
            <w:r>
              <w:rPr>
                <w:sz w:val="18"/>
                <w:szCs w:val="18"/>
              </w:rPr>
              <w:t xml:space="preserve">$12,000</w:t>
            </w:r>
          </w:p>
        </w:tc>
        <w:tc>
          <w:tcPr>
            <w:tcW w:type="dxa" w:w="1517"/>
            <w:tcMar>
              <w:top w:type="dxa" w:w="70"/>
              <w:left w:type="dxa" w:w="100"/>
              <w:bottom w:type="dxa" w:w="70"/>
              <w:right w:type="dxa" w:w="100"/>
            </w:tcMar>
            <w:vAlign w:val="top"/>
          </w:tcPr>
          <w:p>
            <w:pPr>
              <w:keepNext/>
              <w:spacing w:after="0" w:line="252"/>
              <w:jc w:val="left"/>
            </w:pPr>
            <w:r>
              <w:rPr>
                <w:sz w:val="18"/>
                <w:szCs w:val="18"/>
              </w:rPr>
              <w:t xml:space="preserve">$62,000</w:t>
            </w:r>
          </w:p>
        </w:tc>
        <w:tc>
          <w:tcPr>
            <w:tcW w:type="dxa" w:w="1509"/>
            <w:tcMar>
              <w:top w:type="dxa" w:w="70"/>
              <w:left w:type="dxa" w:w="100"/>
              <w:bottom w:type="dxa" w:w="70"/>
              <w:right w:type="dxa" w:w="100"/>
            </w:tcMar>
            <w:vAlign w:val="top"/>
          </w:tcPr>
          <w:p>
            <w:pPr>
              <w:keepNext/>
              <w:spacing w:after="0" w:line="252"/>
              <w:jc w:val="left"/>
            </w:pPr>
            <w:r>
              <w:rPr>
                <w:sz w:val="18"/>
                <w:szCs w:val="18"/>
              </w:rPr>
              <w:t xml:space="preserve">28</w:t>
            </w:r>
          </w:p>
        </w:tc>
        <w:tc>
          <w:tcPr>
            <w:tcW w:type="dxa" w:w="1485"/>
            <w:tcMar>
              <w:top w:type="dxa" w:w="70"/>
              <w:left w:type="dxa" w:w="100"/>
              <w:bottom w:type="dxa" w:w="70"/>
              <w:right w:type="dxa" w:w="100"/>
            </w:tcMar>
            <w:vAlign w:val="top"/>
          </w:tcPr>
          <w:p>
            <w:pPr>
              <w:keepNext/>
              <w:spacing w:after="0" w:line="252"/>
              <w:jc w:val="left"/>
            </w:pPr>
            <w:r>
              <w:rPr>
                <w:sz w:val="18"/>
                <w:szCs w:val="18"/>
              </w:rPr>
              <w:t xml:space="preserve">6 years</w:t>
            </w:r>
          </w:p>
        </w:tc>
        <w:tc>
          <w:tcPr>
            <w:tcW w:type="dxa" w:w="1400"/>
            <w:tcMar>
              <w:top w:type="dxa" w:w="70"/>
              <w:left w:type="dxa" w:w="100"/>
              <w:bottom w:type="dxa" w:w="70"/>
              <w:right w:type="dxa" w:w="100"/>
            </w:tcMar>
            <w:vAlign w:val="top"/>
          </w:tcPr>
          <w:p>
            <w:pPr>
              <w:keepNext/>
              <w:spacing w:after="0" w:line="252"/>
              <w:jc w:val="left"/>
            </w:pPr>
            <w:r>
              <w:rPr>
                <w:sz w:val="18"/>
                <w:szCs w:val="18"/>
              </w:rPr>
              <w:t xml:space="preserve">Low</w:t>
            </w:r>
          </w:p>
        </w:tc>
      </w:tr>
      <w:tr>
        <w:trPr>
          <w:cantSplit/>
        </w:trPr>
        <w:tc>
          <w:tcPr>
            <w:tcW w:type="dxa" w:w="664"/>
            <w:tcMar>
              <w:top w:type="dxa" w:w="70"/>
              <w:left w:type="dxa" w:w="100"/>
              <w:bottom w:type="dxa" w:w="70"/>
              <w:right w:type="dxa" w:w="100"/>
            </w:tcMar>
            <w:vAlign w:val="top"/>
          </w:tcPr>
          <w:p>
            <w:pPr>
              <w:keepNext/>
              <w:spacing w:after="0" w:line="252"/>
              <w:jc w:val="left"/>
            </w:pPr>
            <w:r>
              <w:rPr>
                <w:sz w:val="18"/>
                <w:szCs w:val="18"/>
              </w:rPr>
              <w:t xml:space="preserve">F</w:t>
            </w:r>
          </w:p>
        </w:tc>
        <w:tc>
          <w:tcPr>
            <w:tcW w:type="dxa" w:w="1817"/>
            <w:tcMar>
              <w:top w:type="dxa" w:w="70"/>
              <w:left w:type="dxa" w:w="100"/>
              <w:bottom w:type="dxa" w:w="70"/>
              <w:right w:type="dxa" w:w="100"/>
            </w:tcMar>
            <w:vAlign w:val="top"/>
          </w:tcPr>
          <w:p>
            <w:pPr>
              <w:keepNext/>
              <w:spacing w:after="0" w:line="252"/>
              <w:jc w:val="left"/>
            </w:pPr>
            <w:r>
              <w:rPr>
                <w:sz w:val="18"/>
                <w:szCs w:val="18"/>
              </w:rPr>
              <w:t xml:space="preserve">Stapleton Avenue</w:t>
            </w:r>
          </w:p>
        </w:tc>
        <w:tc>
          <w:tcPr>
            <w:tcW w:type="dxa" w:w="1019"/>
            <w:tcMar>
              <w:top w:type="dxa" w:w="70"/>
              <w:left w:type="dxa" w:w="100"/>
              <w:bottom w:type="dxa" w:w="70"/>
              <w:right w:type="dxa" w:w="100"/>
            </w:tcMar>
            <w:vAlign w:val="top"/>
          </w:tcPr>
          <w:p>
            <w:pPr>
              <w:keepNext/>
              <w:spacing w:after="0" w:line="252"/>
              <w:jc w:val="left"/>
            </w:pPr>
            <w:r>
              <w:rPr>
                <w:sz w:val="18"/>
                <w:szCs w:val="18"/>
              </w:rPr>
              <w:t xml:space="preserve">17 years</w:t>
            </w:r>
          </w:p>
        </w:tc>
        <w:tc>
          <w:tcPr>
            <w:tcW w:type="dxa" w:w="1469"/>
            <w:tcMar>
              <w:top w:type="dxa" w:w="70"/>
              <w:left w:type="dxa" w:w="100"/>
              <w:bottom w:type="dxa" w:w="70"/>
              <w:right w:type="dxa" w:w="100"/>
            </w:tcMar>
            <w:vAlign w:val="top"/>
          </w:tcPr>
          <w:p>
            <w:pPr>
              <w:keepNext/>
              <w:spacing w:after="0" w:line="252"/>
              <w:jc w:val="left"/>
            </w:pPr>
            <w:r>
              <w:rPr>
                <w:sz w:val="18"/>
                <w:szCs w:val="18"/>
              </w:rPr>
              <w:t xml:space="preserve">2,800</w:t>
            </w:r>
          </w:p>
        </w:tc>
        <w:tc>
          <w:tcPr>
            <w:tcW w:type="dxa" w:w="1275"/>
            <w:tcMar>
              <w:top w:type="dxa" w:w="70"/>
              <w:left w:type="dxa" w:w="100"/>
              <w:bottom w:type="dxa" w:w="70"/>
              <w:right w:type="dxa" w:w="100"/>
            </w:tcMar>
            <w:vAlign w:val="top"/>
          </w:tcPr>
          <w:p>
            <w:pPr>
              <w:keepNext/>
              <w:spacing w:after="0" w:line="252"/>
              <w:jc w:val="left"/>
            </w:pPr>
            <w:r>
              <w:rPr>
                <w:sz w:val="18"/>
                <w:szCs w:val="18"/>
              </w:rPr>
              <w:t xml:space="preserve">66%</w:t>
            </w:r>
          </w:p>
        </w:tc>
        <w:tc>
          <w:tcPr>
            <w:tcW w:type="dxa" w:w="1525"/>
            <w:tcMar>
              <w:top w:type="dxa" w:w="70"/>
              <w:left w:type="dxa" w:w="100"/>
              <w:bottom w:type="dxa" w:w="70"/>
              <w:right w:type="dxa" w:w="100"/>
            </w:tcMar>
            <w:vAlign w:val="top"/>
          </w:tcPr>
          <w:p>
            <w:pPr>
              <w:keepNext/>
              <w:spacing w:after="0" w:line="252"/>
              <w:jc w:val="left"/>
            </w:pPr>
            <w:r>
              <w:rPr>
                <w:sz w:val="18"/>
                <w:szCs w:val="18"/>
              </w:rPr>
              <w:t xml:space="preserve">$22,000</w:t>
            </w:r>
          </w:p>
        </w:tc>
        <w:tc>
          <w:tcPr>
            <w:tcW w:type="dxa" w:w="1517"/>
            <w:tcMar>
              <w:top w:type="dxa" w:w="70"/>
              <w:left w:type="dxa" w:w="100"/>
              <w:bottom w:type="dxa" w:w="70"/>
              <w:right w:type="dxa" w:w="100"/>
            </w:tcMar>
            <w:vAlign w:val="top"/>
          </w:tcPr>
          <w:p>
            <w:pPr>
              <w:keepNext/>
              <w:spacing w:after="0" w:line="252"/>
              <w:jc w:val="left"/>
            </w:pPr>
            <w:r>
              <w:rPr>
                <w:sz w:val="18"/>
                <w:szCs w:val="18"/>
              </w:rPr>
              <w:t xml:space="preserve">$84,000</w:t>
            </w:r>
          </w:p>
        </w:tc>
        <w:tc>
          <w:tcPr>
            <w:tcW w:type="dxa" w:w="1509"/>
            <w:tcMar>
              <w:top w:type="dxa" w:w="70"/>
              <w:left w:type="dxa" w:w="100"/>
              <w:bottom w:type="dxa" w:w="70"/>
              <w:right w:type="dxa" w:w="100"/>
            </w:tcMar>
            <w:vAlign w:val="top"/>
          </w:tcPr>
          <w:p>
            <w:pPr>
              <w:keepNext/>
              <w:spacing w:after="0" w:line="252"/>
              <w:jc w:val="left"/>
            </w:pPr>
            <w:r>
              <w:rPr>
                <w:sz w:val="18"/>
                <w:szCs w:val="18"/>
              </w:rPr>
              <w:t xml:space="preserve">44</w:t>
            </w:r>
          </w:p>
        </w:tc>
        <w:tc>
          <w:tcPr>
            <w:tcW w:type="dxa" w:w="1485"/>
            <w:tcMar>
              <w:top w:type="dxa" w:w="70"/>
              <w:left w:type="dxa" w:w="100"/>
              <w:bottom w:type="dxa" w:w="70"/>
              <w:right w:type="dxa" w:w="100"/>
            </w:tcMar>
            <w:vAlign w:val="top"/>
          </w:tcPr>
          <w:p>
            <w:pPr>
              <w:keepNext/>
              <w:spacing w:after="0" w:line="252"/>
              <w:jc w:val="left"/>
            </w:pPr>
            <w:r>
              <w:rPr>
                <w:sz w:val="18"/>
                <w:szCs w:val="18"/>
              </w:rPr>
              <w:t xml:space="preserve">7 years</w:t>
            </w:r>
          </w:p>
        </w:tc>
        <w:tc>
          <w:tcPr>
            <w:tcW w:type="dxa" w:w="1400"/>
            <w:tcMar>
              <w:top w:type="dxa" w:w="70"/>
              <w:left w:type="dxa" w:w="100"/>
              <w:bottom w:type="dxa" w:w="70"/>
              <w:right w:type="dxa" w:w="100"/>
            </w:tcMar>
            <w:vAlign w:val="top"/>
          </w:tcPr>
          <w:p>
            <w:pPr>
              <w:keepNext/>
              <w:spacing w:after="0" w:line="252"/>
              <w:jc w:val="left"/>
            </w:pPr>
            <w:r>
              <w:rPr>
                <w:sz w:val="18"/>
                <w:szCs w:val="18"/>
              </w:rPr>
              <w:t xml:space="preserve">Medium</w:t>
            </w:r>
          </w:p>
        </w:tc>
      </w:tr>
      <w:tr>
        <w:trPr>
          <w:cantSplit/>
        </w:trPr>
        <w:tc>
          <w:tcPr>
            <w:tcW w:type="dxa" w:w="664"/>
            <w:tcMar>
              <w:top w:type="dxa" w:w="70"/>
              <w:left w:type="dxa" w:w="100"/>
              <w:bottom w:type="dxa" w:w="70"/>
              <w:right w:type="dxa" w:w="100"/>
            </w:tcMar>
            <w:vAlign w:val="top"/>
          </w:tcPr>
          <w:p>
            <w:pPr>
              <w:spacing w:after="0" w:line="252"/>
              <w:jc w:val="left"/>
            </w:pPr>
            <w:r>
              <w:rPr>
                <w:sz w:val="18"/>
                <w:szCs w:val="18"/>
              </w:rPr>
              <w:t xml:space="preserve">G</w:t>
            </w:r>
          </w:p>
        </w:tc>
        <w:tc>
          <w:tcPr>
            <w:tcW w:type="dxa" w:w="1817"/>
            <w:tcMar>
              <w:top w:type="dxa" w:w="70"/>
              <w:left w:type="dxa" w:w="100"/>
              <w:bottom w:type="dxa" w:w="70"/>
              <w:right w:type="dxa" w:w="100"/>
            </w:tcMar>
            <w:vAlign w:val="top"/>
          </w:tcPr>
          <w:p>
            <w:pPr>
              <w:spacing w:after="0" w:line="252"/>
              <w:jc w:val="left"/>
            </w:pPr>
            <w:r>
              <w:rPr>
                <w:sz w:val="18"/>
                <w:szCs w:val="18"/>
              </w:rPr>
              <w:t xml:space="preserve">Stapleton Avenue</w:t>
            </w:r>
          </w:p>
        </w:tc>
        <w:tc>
          <w:tcPr>
            <w:tcW w:type="dxa" w:w="1019"/>
            <w:tcMar>
              <w:top w:type="dxa" w:w="70"/>
              <w:left w:type="dxa" w:w="100"/>
              <w:bottom w:type="dxa" w:w="70"/>
              <w:right w:type="dxa" w:w="100"/>
            </w:tcMar>
            <w:vAlign w:val="top"/>
          </w:tcPr>
          <w:p>
            <w:pPr>
              <w:spacing w:after="0" w:line="252"/>
              <w:jc w:val="left"/>
            </w:pPr>
            <w:r>
              <w:rPr>
                <w:sz w:val="18"/>
                <w:szCs w:val="18"/>
              </w:rPr>
              <w:t xml:space="preserve">31 years</w:t>
            </w:r>
          </w:p>
        </w:tc>
        <w:tc>
          <w:tcPr>
            <w:tcW w:type="dxa" w:w="1469"/>
            <w:tcMar>
              <w:top w:type="dxa" w:w="70"/>
              <w:left w:type="dxa" w:w="100"/>
              <w:bottom w:type="dxa" w:w="70"/>
              <w:right w:type="dxa" w:w="100"/>
            </w:tcMar>
            <w:vAlign w:val="top"/>
          </w:tcPr>
          <w:p>
            <w:pPr>
              <w:spacing w:after="0" w:line="252"/>
              <w:jc w:val="left"/>
            </w:pPr>
            <w:r>
              <w:rPr>
                <w:sz w:val="18"/>
                <w:szCs w:val="18"/>
              </w:rPr>
              <w:t xml:space="preserve">2,100</w:t>
            </w:r>
          </w:p>
        </w:tc>
        <w:tc>
          <w:tcPr>
            <w:tcW w:type="dxa" w:w="1275"/>
            <w:tcMar>
              <w:top w:type="dxa" w:w="70"/>
              <w:left w:type="dxa" w:w="100"/>
              <w:bottom w:type="dxa" w:w="70"/>
              <w:right w:type="dxa" w:w="100"/>
            </w:tcMar>
            <w:vAlign w:val="top"/>
          </w:tcPr>
          <w:p>
            <w:pPr>
              <w:spacing w:after="0" w:line="252"/>
              <w:jc w:val="left"/>
            </w:pPr>
            <w:r>
              <w:rPr>
                <w:sz w:val="18"/>
                <w:szCs w:val="18"/>
              </w:rPr>
              <w:t xml:space="preserve">52%</w:t>
            </w:r>
          </w:p>
        </w:tc>
        <w:tc>
          <w:tcPr>
            <w:tcW w:type="dxa" w:w="1525"/>
            <w:tcMar>
              <w:top w:type="dxa" w:w="70"/>
              <w:left w:type="dxa" w:w="100"/>
              <w:bottom w:type="dxa" w:w="70"/>
              <w:right w:type="dxa" w:w="100"/>
            </w:tcMar>
            <w:vAlign w:val="top"/>
          </w:tcPr>
          <w:p>
            <w:pPr>
              <w:spacing w:after="0" w:line="252"/>
              <w:jc w:val="left"/>
            </w:pPr>
            <w:r>
              <w:rPr>
                <w:sz w:val="18"/>
                <w:szCs w:val="18"/>
              </w:rPr>
              <w:t xml:space="preserve">$31,000</w:t>
            </w:r>
          </w:p>
        </w:tc>
        <w:tc>
          <w:tcPr>
            <w:tcW w:type="dxa" w:w="1517"/>
            <w:tcMar>
              <w:top w:type="dxa" w:w="70"/>
              <w:left w:type="dxa" w:w="100"/>
              <w:bottom w:type="dxa" w:w="70"/>
              <w:right w:type="dxa" w:w="100"/>
            </w:tcMar>
            <w:vAlign w:val="top"/>
          </w:tcPr>
          <w:p>
            <w:pPr>
              <w:spacing w:after="0" w:line="252"/>
              <w:jc w:val="left"/>
            </w:pPr>
            <w:r>
              <w:rPr>
                <w:sz w:val="18"/>
                <w:szCs w:val="18"/>
              </w:rPr>
              <w:t xml:space="preserve">$102,000</w:t>
            </w:r>
          </w:p>
        </w:tc>
        <w:tc>
          <w:tcPr>
            <w:tcW w:type="dxa" w:w="1509"/>
            <w:tcMar>
              <w:top w:type="dxa" w:w="70"/>
              <w:left w:type="dxa" w:w="100"/>
              <w:bottom w:type="dxa" w:w="70"/>
              <w:right w:type="dxa" w:w="100"/>
            </w:tcMar>
            <w:vAlign w:val="top"/>
          </w:tcPr>
          <w:p>
            <w:pPr>
              <w:spacing w:after="0" w:line="252"/>
              <w:jc w:val="left"/>
            </w:pPr>
            <w:r>
              <w:rPr>
                <w:sz w:val="18"/>
                <w:szCs w:val="18"/>
              </w:rPr>
              <w:t xml:space="preserve">64</w:t>
            </w:r>
          </w:p>
        </w:tc>
        <w:tc>
          <w:tcPr>
            <w:tcW w:type="dxa" w:w="1485"/>
            <w:tcMar>
              <w:top w:type="dxa" w:w="70"/>
              <w:left w:type="dxa" w:w="100"/>
              <w:bottom w:type="dxa" w:w="70"/>
              <w:right w:type="dxa" w:w="100"/>
            </w:tcMar>
            <w:vAlign w:val="top"/>
          </w:tcPr>
          <w:p>
            <w:pPr>
              <w:spacing w:after="0" w:line="252"/>
              <w:jc w:val="left"/>
            </w:pPr>
            <w:r>
              <w:rPr>
                <w:sz w:val="18"/>
                <w:szCs w:val="18"/>
              </w:rPr>
              <w:t xml:space="preserve">4 years</w:t>
            </w:r>
          </w:p>
        </w:tc>
        <w:tc>
          <w:tcPr>
            <w:tcW w:type="dxa" w:w="1400"/>
            <w:tcMar>
              <w:top w:type="dxa" w:w="70"/>
              <w:left w:type="dxa" w:w="100"/>
              <w:bottom w:type="dxa" w:w="70"/>
              <w:right w:type="dxa" w:w="100"/>
            </w:tcMar>
            <w:vAlign w:val="top"/>
          </w:tcPr>
          <w:p>
            <w:pPr>
              <w:spacing w:after="0" w:line="252"/>
              <w:jc w:val="left"/>
            </w:pPr>
            <w:r>
              <w:rPr>
                <w:sz w:val="18"/>
                <w:szCs w:val="18"/>
              </w:rPr>
              <w:t xml:space="preserve">Medium</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Constraints, all set for this fictional scenario:</w:t>
      </w:r>
    </w:p>
    <w:p>
      <w:pPr>
        <w:pStyle w:val="ListParagraph"/>
        <w:keepNext/>
        <w:keepLines/>
        <w:numPr>
          <w:ilvl w:val="0"/>
          <w:numId w:val="3"/>
        </w:numPr>
        <w:spacing w:after="60" w:line="276"/>
        <w:ind w:left="720" w:hanging="360"/>
      </w:pPr>
      <w:r>
        <w:rPr>
          <w:sz w:val="22"/>
          <w:szCs w:val="22"/>
        </w:rPr>
        <w:t xml:space="preserve">The repair budget for the year is $150,000. None of it carries over.</w:t>
      </w:r>
    </w:p>
    <w:p>
      <w:pPr>
        <w:pStyle w:val="ListParagraph"/>
        <w:keepNext/>
        <w:keepLines/>
        <w:numPr>
          <w:ilvl w:val="0"/>
          <w:numId w:val="3"/>
        </w:numPr>
        <w:spacing w:after="60" w:line="276"/>
        <w:ind w:left="720" w:hanging="360"/>
      </w:pPr>
      <w:r>
        <w:rPr>
          <w:sz w:val="22"/>
          <w:szCs w:val="22"/>
        </w:rPr>
        <w:t xml:space="preserve">The crew has 180 crew-hours for rebuild work. The rest of the year goes to routine service.</w:t>
      </w:r>
    </w:p>
    <w:p>
      <w:pPr>
        <w:pStyle w:val="ListParagraph"/>
        <w:keepNext/>
        <w:keepLines/>
        <w:numPr>
          <w:ilvl w:val="0"/>
          <w:numId w:val="3"/>
        </w:numPr>
        <w:spacing w:after="60" w:line="276"/>
        <w:ind w:left="720" w:hanging="360"/>
      </w:pPr>
      <w:r>
        <w:rPr>
          <w:sz w:val="22"/>
          <w:szCs w:val="22"/>
        </w:rPr>
        <w:t xml:space="preserve">Velbury Hill may have only one pump out of service at a time. No Velbury Hill pump may be pulled in July or August, when demand peaks.</w:t>
      </w:r>
    </w:p>
    <w:p>
      <w:pPr>
        <w:pStyle w:val="ListParagraph"/>
        <w:keepNext/>
        <w:keepLines/>
        <w:numPr>
          <w:ilvl w:val="0"/>
          <w:numId w:val="3"/>
        </w:numPr>
        <w:spacing w:after="60" w:line="276"/>
        <w:ind w:left="720" w:hanging="360"/>
      </w:pPr>
      <w:r>
        <w:rPr>
          <w:sz w:val="22"/>
          <w:szCs w:val="22"/>
        </w:rPr>
        <w:t xml:space="preserve">Only a state-licensed Grade II mechanic may sign the shaft alignment that closes a rebuild. The utility has one, and she works twelve days a month.</w:t>
      </w:r>
    </w:p>
    <w:p>
      <w:pPr>
        <w:pStyle w:val="ListParagraph"/>
        <w:keepLines/>
        <w:numPr>
          <w:ilvl w:val="0"/>
          <w:numId w:val="3"/>
        </w:numPr>
        <w:spacing w:after="60" w:line="276"/>
        <w:ind w:left="720" w:hanging="360"/>
      </w:pPr>
      <w:r>
        <w:rPr>
          <w:sz w:val="22"/>
          <w:szCs w:val="22"/>
        </w:rPr>
        <w:t xml:space="preserve">Replacement costs are listed so teams can compare. A replacement uses no crew-hours, because a contractor does that work.</w:t>
      </w:r>
    </w:p>
    <w:p>
      <w:pPr>
        <w:spacing w:after="40" w:before="0" w:line="120" w:lineRule="exact"/>
      </w:pPr>
    </w:p>
    <w:p>
      <w:pPr>
        <w:spacing w:after="120" w:line="276"/>
      </w:pPr>
      <w:r>
        <w:rPr>
          <w:b/>
          <w:bCs/>
          <w:sz w:val="22"/>
          <w:szCs w:val="22"/>
        </w:rPr>
        <w:t xml:space="preserve">Final deliverable:</w:t>
      </w:r>
      <w:r>
        <w:rPr>
          <w:sz w:val="22"/>
          <w:szCs w:val="22"/>
        </w:rPr>
        <w:t xml:space="preserve"> A two-page memo to the plant manager. The memo must show the ranked cost-per-added-year table. It must state both limits as inequalities. It must name the chosen set of pumps, its total cost, and its total crew-hours. It must include the twelve-month calendar. It must close with a paragraph that defends one pump the team left alone. Each team also gives a five-minute briefing, with the class acting as plant staff.</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rank the work:</w:t>
      </w:r>
      <w:r>
        <w:rPr>
          <w:sz w:val="22"/>
          <w:szCs w:val="22"/>
        </w:rPr>
        <w:t xml:space="preserve"> Teams divide each pump's rebuild cost by its added years of service. That gives a cost per added year for all seven pumps. Teams sort the list from lowest to highest. They then write one sentence on why this order differs from an order by age. Output: a seven-row ranking table and that sentence.</w:t>
      </w:r>
    </w:p>
    <w:p>
      <w:pPr>
        <w:pStyle w:val="ListParagraph"/>
        <w:keepLines/>
        <w:numPr>
          <w:ilvl w:val="0"/>
          <w:numId w:val="4"/>
        </w:numPr>
        <w:spacing w:after="100" w:line="276"/>
        <w:ind w:left="720" w:hanging="360"/>
      </w:pPr>
      <w:r>
        <w:rPr>
          <w:b/>
          <w:bCs/>
          <w:sz w:val="22"/>
          <w:szCs w:val="22"/>
        </w:rPr>
        <w:t xml:space="preserve">Session 2, write and test the limits:</w:t>
      </w:r>
      <w:r>
        <w:rPr>
          <w:sz w:val="22"/>
          <w:szCs w:val="22"/>
        </w:rPr>
        <w:t xml:space="preserve"> Teams write the budget limit and the crew-hour limit as two inequalities. They pick two different sets of pumps to work on. They test each set against both limits. Output: two candidate sets, the arithmetic for each, and a written verdict of viable or not viable.</w:t>
      </w:r>
    </w:p>
    <w:p>
      <w:pPr>
        <w:pStyle w:val="ListParagraph"/>
        <w:keepLines/>
        <w:numPr>
          <w:ilvl w:val="0"/>
          <w:numId w:val="4"/>
        </w:numPr>
        <w:spacing w:after="100" w:line="276"/>
        <w:ind w:left="720" w:hanging="360"/>
      </w:pPr>
      <w:r>
        <w:rPr>
          <w:b/>
          <w:bCs/>
          <w:sz w:val="22"/>
          <w:szCs w:val="22"/>
        </w:rPr>
        <w:t xml:space="preserve">Session 3, schedule the year:</w:t>
      </w:r>
      <w:r>
        <w:rPr>
          <w:sz w:val="22"/>
          <w:szCs w:val="22"/>
        </w:rPr>
        <w:t xml:space="preserve"> Teams choose one viable set. They place each work order on a twelve-month calendar. The calendar must respect the summer rule at Velbury Hill. It must also respect the one-pump-out rule and the mechanic's twelve days a month. Output: a calendar showing each work order, its crew-hours, and its sign-off date.</w:t>
      </w:r>
    </w:p>
    <w:p>
      <w:pPr>
        <w:pStyle w:val="ListParagraph"/>
        <w:keepLines/>
        <w:numPr>
          <w:ilvl w:val="0"/>
          <w:numId w:val="4"/>
        </w:numPr>
        <w:spacing w:after="100" w:line="276"/>
        <w:ind w:left="720" w:hanging="360"/>
      </w:pPr>
      <w:r>
        <w:rPr>
          <w:b/>
          <w:bCs/>
          <w:sz w:val="22"/>
          <w:szCs w:val="22"/>
        </w:rPr>
        <w:t xml:space="preserve">Session 4, memo and briefing:</w:t>
      </w:r>
      <w:r>
        <w:rPr>
          <w:sz w:val="22"/>
          <w:szCs w:val="22"/>
        </w:rPr>
        <w:t xml:space="preserve"> Teams write the two-page memo. Then they brief the class for five minutes. The briefing must answer one hard question about a pump the team left alone. Output: the finished memo and a briefing with a written answer to that question.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Draythorne's Pump Overhaul Plan: A Maintenance Planner Project</w:t>
      </w:r>
    </w:p>
    <w:p>
      <w:pPr>
        <w:keepNext/>
        <w:spacing w:after="160"/>
      </w:pPr>
      <w:r>
        <w:rPr>
          <w:color w:val="5B6B70"/>
          <w:sz w:val="20"/>
          <w:szCs w:val="20"/>
        </w:rPr>
        <w:t xml:space="preserve">Project · Grade 10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228"/>
        <w:gridCol w:w="3298"/>
        <w:gridCol w:w="3319"/>
        <w:gridCol w:w="3223"/>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Cost-per-year ranking</w:t>
            </w:r>
          </w:p>
        </w:tc>
        <w:tc>
          <w:tcPr>
            <w:tcW w:type="dxa" w:w="2228"/>
            <w:tcMar>
              <w:top w:type="dxa" w:w="70"/>
              <w:left w:type="dxa" w:w="100"/>
              <w:bottom w:type="dxa" w:w="70"/>
              <w:right w:type="dxa" w:w="100"/>
            </w:tcMar>
            <w:vAlign w:val="top"/>
          </w:tcPr>
          <w:p>
            <w:pPr>
              <w:keepNext/>
              <w:spacing w:after="0" w:line="252"/>
              <w:jc w:val="left"/>
            </w:pPr>
            <w:r>
              <w:rPr>
                <w:sz w:val="20"/>
                <w:szCs w:val="20"/>
              </w:rPr>
              <w:t xml:space="preserve">The ranking is missing or simply lists pumps by age</w:t>
            </w:r>
          </w:p>
        </w:tc>
        <w:tc>
          <w:tcPr>
            <w:tcW w:type="dxa" w:w="3298"/>
            <w:tcMar>
              <w:top w:type="dxa" w:w="70"/>
              <w:left w:type="dxa" w:w="100"/>
              <w:bottom w:type="dxa" w:w="70"/>
              <w:right w:type="dxa" w:w="100"/>
            </w:tcMar>
            <w:vAlign w:val="top"/>
          </w:tcPr>
          <w:p>
            <w:pPr>
              <w:keepNext/>
              <w:spacing w:after="0" w:line="252"/>
              <w:jc w:val="left"/>
            </w:pPr>
            <w:r>
              <w:rPr>
                <w:sz w:val="20"/>
                <w:szCs w:val="20"/>
              </w:rPr>
              <w:t xml:space="preserve">Some cost-per-added-year figures are computed, yet the ranking is incomplete or contains arithmetic errors</w:t>
            </w:r>
          </w:p>
        </w:tc>
        <w:tc>
          <w:tcPr>
            <w:tcW w:type="dxa" w:w="3319"/>
            <w:tcMar>
              <w:top w:type="dxa" w:w="70"/>
              <w:left w:type="dxa" w:w="100"/>
              <w:bottom w:type="dxa" w:w="70"/>
              <w:right w:type="dxa" w:w="100"/>
            </w:tcMar>
            <w:vAlign w:val="top"/>
          </w:tcPr>
          <w:p>
            <w:pPr>
              <w:keepNext/>
              <w:spacing w:after="0" w:line="252"/>
              <w:jc w:val="left"/>
            </w:pPr>
            <w:r>
              <w:rPr>
                <w:sz w:val="20"/>
                <w:szCs w:val="20"/>
              </w:rPr>
              <w:t xml:space="preserve">All seven pumps are ranked correctly by cost per added year of service</w:t>
            </w:r>
          </w:p>
        </w:tc>
        <w:tc>
          <w:tcPr>
            <w:tcW w:type="dxa" w:w="3223"/>
            <w:tcMar>
              <w:top w:type="dxa" w:w="70"/>
              <w:left w:type="dxa" w:w="100"/>
              <w:bottom w:type="dxa" w:w="70"/>
              <w:right w:type="dxa" w:w="100"/>
            </w:tcMar>
            <w:vAlign w:val="top"/>
          </w:tcPr>
          <w:p>
            <w:pPr>
              <w:keepNext/>
              <w:spacing w:after="0" w:line="252"/>
              <w:jc w:val="left"/>
            </w:pPr>
            <w:r>
              <w:rPr>
                <w:sz w:val="20"/>
                <w:szCs w:val="20"/>
              </w:rPr>
              <w:t xml:space="preserve">The ranking is correct and the team explains where criticality should override the pure cost ranking</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Constraint modeling</w:t>
            </w:r>
          </w:p>
        </w:tc>
        <w:tc>
          <w:tcPr>
            <w:tcW w:type="dxa" w:w="2228"/>
            <w:tcMar>
              <w:top w:type="dxa" w:w="70"/>
              <w:left w:type="dxa" w:w="100"/>
              <w:bottom w:type="dxa" w:w="70"/>
              <w:right w:type="dxa" w:w="100"/>
            </w:tcMar>
            <w:vAlign w:val="top"/>
          </w:tcPr>
          <w:p>
            <w:pPr>
              <w:keepNext/>
              <w:spacing w:after="0" w:line="252"/>
              <w:jc w:val="left"/>
            </w:pPr>
            <w:r>
              <w:rPr>
                <w:sz w:val="20"/>
                <w:szCs w:val="20"/>
              </w:rPr>
              <w:t xml:space="preserve">No inequality is written and totals are not checked</w:t>
            </w:r>
          </w:p>
        </w:tc>
        <w:tc>
          <w:tcPr>
            <w:tcW w:type="dxa" w:w="3298"/>
            <w:tcMar>
              <w:top w:type="dxa" w:w="70"/>
              <w:left w:type="dxa" w:w="100"/>
              <w:bottom w:type="dxa" w:w="70"/>
              <w:right w:type="dxa" w:w="100"/>
            </w:tcMar>
            <w:vAlign w:val="top"/>
          </w:tcPr>
          <w:p>
            <w:pPr>
              <w:keepNext/>
              <w:spacing w:after="0" w:line="252"/>
              <w:jc w:val="left"/>
            </w:pPr>
            <w:r>
              <w:rPr>
                <w:sz w:val="20"/>
                <w:szCs w:val="20"/>
              </w:rPr>
              <w:t xml:space="preserve">An inequality is written for one constraint only, or totals are checked informally</w:t>
            </w:r>
          </w:p>
        </w:tc>
        <w:tc>
          <w:tcPr>
            <w:tcW w:type="dxa" w:w="3319"/>
            <w:tcMar>
              <w:top w:type="dxa" w:w="70"/>
              <w:left w:type="dxa" w:w="100"/>
              <w:bottom w:type="dxa" w:w="70"/>
              <w:right w:type="dxa" w:w="100"/>
            </w:tcMar>
            <w:vAlign w:val="top"/>
          </w:tcPr>
          <w:p>
            <w:pPr>
              <w:keepNext/>
              <w:spacing w:after="0" w:line="252"/>
              <w:jc w:val="left"/>
            </w:pPr>
            <w:r>
              <w:rPr>
                <w:sz w:val="20"/>
                <w:szCs w:val="20"/>
              </w:rPr>
              <w:t xml:space="preserve">Both inequalities are written correctly and each candidate package is tested against both</w:t>
            </w:r>
          </w:p>
        </w:tc>
        <w:tc>
          <w:tcPr>
            <w:tcW w:type="dxa" w:w="3223"/>
            <w:tcMar>
              <w:top w:type="dxa" w:w="70"/>
              <w:left w:type="dxa" w:w="100"/>
              <w:bottom w:type="dxa" w:w="70"/>
              <w:right w:type="dxa" w:w="100"/>
            </w:tcMar>
            <w:vAlign w:val="top"/>
          </w:tcPr>
          <w:p>
            <w:pPr>
              <w:keepNext/>
              <w:spacing w:after="0" w:line="252"/>
              <w:jc w:val="left"/>
            </w:pPr>
            <w:r>
              <w:rPr>
                <w:sz w:val="20"/>
                <w:szCs w:val="20"/>
              </w:rPr>
              <w:t xml:space="preserve">Both inequalities are written correctly, both packages are tested, and the team identifies which constraint is binding</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Schedule and certification staffing</w:t>
            </w:r>
          </w:p>
        </w:tc>
        <w:tc>
          <w:tcPr>
            <w:tcW w:type="dxa" w:w="2228"/>
            <w:tcMar>
              <w:top w:type="dxa" w:w="70"/>
              <w:left w:type="dxa" w:w="100"/>
              <w:bottom w:type="dxa" w:w="70"/>
              <w:right w:type="dxa" w:w="100"/>
            </w:tcMar>
            <w:vAlign w:val="top"/>
          </w:tcPr>
          <w:p>
            <w:pPr>
              <w:keepNext/>
              <w:spacing w:after="0" w:line="252"/>
              <w:jc w:val="left"/>
            </w:pPr>
            <w:r>
              <w:rPr>
                <w:sz w:val="20"/>
                <w:szCs w:val="20"/>
              </w:rPr>
              <w:t xml:space="preserve">The calendar is missing or ignores the stated restrictions</w:t>
            </w:r>
          </w:p>
        </w:tc>
        <w:tc>
          <w:tcPr>
            <w:tcW w:type="dxa" w:w="3298"/>
            <w:tcMar>
              <w:top w:type="dxa" w:w="70"/>
              <w:left w:type="dxa" w:w="100"/>
              <w:bottom w:type="dxa" w:w="70"/>
              <w:right w:type="dxa" w:w="100"/>
            </w:tcMar>
            <w:vAlign w:val="top"/>
          </w:tcPr>
          <w:p>
            <w:pPr>
              <w:keepNext/>
              <w:spacing w:after="0" w:line="252"/>
              <w:jc w:val="left"/>
            </w:pPr>
            <w:r>
              <w:rPr>
                <w:sz w:val="20"/>
                <w:szCs w:val="20"/>
              </w:rPr>
              <w:t xml:space="preserve">The calendar places work orders yet violates the peak-season rule or the one-pump-out rule</w:t>
            </w:r>
          </w:p>
        </w:tc>
        <w:tc>
          <w:tcPr>
            <w:tcW w:type="dxa" w:w="3319"/>
            <w:tcMar>
              <w:top w:type="dxa" w:w="70"/>
              <w:left w:type="dxa" w:w="100"/>
              <w:bottom w:type="dxa" w:w="70"/>
              <w:right w:type="dxa" w:w="100"/>
            </w:tcMar>
            <w:vAlign w:val="top"/>
          </w:tcPr>
          <w:p>
            <w:pPr>
              <w:keepNext/>
              <w:spacing w:after="0" w:line="252"/>
              <w:jc w:val="left"/>
            </w:pPr>
            <w:r>
              <w:rPr>
                <w:sz w:val="20"/>
                <w:szCs w:val="20"/>
              </w:rPr>
              <w:t xml:space="preserve">The calendar honors the peak-season, redundancy, and mechanic-availability requirements</w:t>
            </w:r>
          </w:p>
        </w:tc>
        <w:tc>
          <w:tcPr>
            <w:tcW w:type="dxa" w:w="3223"/>
            <w:tcMar>
              <w:top w:type="dxa" w:w="70"/>
              <w:left w:type="dxa" w:w="100"/>
              <w:bottom w:type="dxa" w:w="70"/>
              <w:right w:type="dxa" w:w="100"/>
            </w:tcMar>
            <w:vAlign w:val="top"/>
          </w:tcPr>
          <w:p>
            <w:pPr>
              <w:keepNext/>
              <w:spacing w:after="0" w:line="252"/>
              <w:jc w:val="left"/>
            </w:pPr>
            <w:r>
              <w:rPr>
                <w:sz w:val="20"/>
                <w:szCs w:val="20"/>
              </w:rPr>
              <w:t xml:space="preserve">The calendar honors every requirement and leaves a stated reserve of crew-hours for emergency repairs</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Memo and briefing</w:t>
            </w:r>
          </w:p>
        </w:tc>
        <w:tc>
          <w:tcPr>
            <w:tcW w:type="dxa" w:w="2228"/>
            <w:tcMar>
              <w:top w:type="dxa" w:w="70"/>
              <w:left w:type="dxa" w:w="100"/>
              <w:bottom w:type="dxa" w:w="70"/>
              <w:right w:type="dxa" w:w="100"/>
            </w:tcMar>
            <w:vAlign w:val="top"/>
          </w:tcPr>
          <w:p>
            <w:pPr>
              <w:spacing w:after="0" w:line="252"/>
              <w:jc w:val="left"/>
            </w:pPr>
            <w:r>
              <w:rPr>
                <w:sz w:val="20"/>
                <w:szCs w:val="20"/>
              </w:rPr>
              <w:t xml:space="preserve">The memo states a choice with no supporting figures</w:t>
            </w:r>
          </w:p>
        </w:tc>
        <w:tc>
          <w:tcPr>
            <w:tcW w:type="dxa" w:w="3298"/>
            <w:tcMar>
              <w:top w:type="dxa" w:w="70"/>
              <w:left w:type="dxa" w:w="100"/>
              <w:bottom w:type="dxa" w:w="70"/>
              <w:right w:type="dxa" w:w="100"/>
            </w:tcMar>
            <w:vAlign w:val="top"/>
          </w:tcPr>
          <w:p>
            <w:pPr>
              <w:spacing w:after="0" w:line="252"/>
              <w:jc w:val="left"/>
            </w:pPr>
            <w:r>
              <w:rPr>
                <w:sz w:val="20"/>
                <w:szCs w:val="20"/>
              </w:rPr>
              <w:t xml:space="preserve">The memo reports the chosen package yet omits the table, the inequalities, or the calendar</w:t>
            </w:r>
          </w:p>
        </w:tc>
        <w:tc>
          <w:tcPr>
            <w:tcW w:type="dxa" w:w="3319"/>
            <w:tcMar>
              <w:top w:type="dxa" w:w="70"/>
              <w:left w:type="dxa" w:w="100"/>
              <w:bottom w:type="dxa" w:w="70"/>
              <w:right w:type="dxa" w:w="100"/>
            </w:tcMar>
            <w:vAlign w:val="top"/>
          </w:tcPr>
          <w:p>
            <w:pPr>
              <w:spacing w:after="0" w:line="252"/>
              <w:jc w:val="left"/>
            </w:pPr>
            <w:r>
              <w:rPr>
                <w:sz w:val="20"/>
                <w:szCs w:val="20"/>
              </w:rPr>
              <w:t xml:space="preserve">The memo contains every required element and defends one pump left alone</w:t>
            </w:r>
          </w:p>
        </w:tc>
        <w:tc>
          <w:tcPr>
            <w:tcW w:type="dxa" w:w="3223"/>
            <w:tcMar>
              <w:top w:type="dxa" w:w="70"/>
              <w:left w:type="dxa" w:w="100"/>
              <w:bottom w:type="dxa" w:w="70"/>
              <w:right w:type="dxa" w:w="100"/>
            </w:tcMar>
            <w:vAlign w:val="top"/>
          </w:tcPr>
          <w:p>
            <w:pPr>
              <w:spacing w:after="0" w:line="252"/>
              <w:jc w:val="left"/>
            </w:pPr>
            <w:r>
              <w:rPr>
                <w:sz w:val="20"/>
                <w:szCs w:val="20"/>
              </w:rPr>
              <w:t xml:space="preserve">The memo contains every element, defends the deferral, and answers the challenge question with specific figures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Draythorne's Pump Overhaul Plan: A Maintenance Planner Project</dc:title>
  <dc:subject>Project · Grade 10 · Careers &amp; CTE</dc:subject>
  <dc:creator>Water for Schools</dc:creator>
  <cp:keywords>Project, Grade 10, Careers &amp; CTE</cp:keywords>
  <dc:description>A grade 10 careers project where teams act as maintenance planners, ranking seven pumps by cost per added service year and scheduling a year of overhauls.</dc:description>
  <cp:lastModifiedBy>Water for Schools</cp:lastModifiedBy>
  <cp:revision>1</cp:revision>
  <dcterms:created xsi:type="dcterms:W3CDTF">2026-10-19T16:28:50.962Z</dcterms:created>
  <dcterms:modified xsi:type="dcterms:W3CDTF">2026-10-19T16:28:50.962Z</dcterms:modified>
</cp:coreProperties>
</file>

<file path=docProps/custom.xml><?xml version="1.0" encoding="utf-8"?>
<Properties xmlns="http://schemas.openxmlformats.org/officeDocument/2006/custom-properties" xmlns:vt="http://schemas.openxmlformats.org/officeDocument/2006/docPropsVTypes"/>
</file>