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Fettercairn's Hiring Panel: An Operator in Training Offer</w:t>
      </w:r>
    </w:p>
    <w:p>
      <w:pPr>
        <w:keepNext/>
        <w:spacing w:after="160"/>
      </w:pPr>
      <w:r>
        <w:rPr>
          <w:color w:val="5B6B70"/>
          <w:sz w:val="20"/>
          <w:szCs w:val="20"/>
        </w:rPr>
        <w:t xml:space="preserve">Classroom activity · Grade 10 · Careers &amp; CTE</w:t>
      </w:r>
    </w:p>
    <w:p>
      <w:pPr>
        <w:spacing w:after="100" w:line="264"/>
      </w:pPr>
      <w:r>
        <w:rPr>
          <w:i/>
          <w:iCs/>
          <w:color w:val="12333F"/>
          <w:sz w:val="22"/>
          <w:szCs w:val="22"/>
        </w:rPr>
        <w:t xml:space="preserve">A grade 10 careers role-play where panels weight a job posting into a scoring sheet, rank three candidates, and choose one hiring incentive within a budget.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job posting card, one per panel</w:t>
            </w:r>
          </w:p>
          <w:p>
            <w:pPr>
              <w:spacing w:after="0"/>
            </w:pPr>
            <w:r>
              <w:rPr>
                <w:sz w:val="20"/>
                <w:szCs w:val="20"/>
              </w:rPr>
              <w:t xml:space="preserve">• Printed candidate cards, three per panel</w:t>
            </w:r>
          </w:p>
          <w:p>
            <w:pPr>
              <w:spacing w:after="0"/>
            </w:pPr>
            <w:r>
              <w:rPr>
                <w:sz w:val="20"/>
                <w:szCs w:val="20"/>
              </w:rPr>
              <w:t xml:space="preserve">• Printed role cards, four per panel</w:t>
            </w:r>
          </w:p>
          <w:p>
            <w:pPr>
              <w:spacing w:after="0"/>
            </w:pPr>
            <w:r>
              <w:rPr>
                <w:sz w:val="20"/>
                <w:szCs w:val="20"/>
              </w:rPr>
              <w:t xml:space="preserve">• Blank scoring sheets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job posting into weighted hiring criteria and defend the weights they chose.</w:t>
      </w:r>
    </w:p>
    <w:p>
      <w:pPr>
        <w:pStyle w:val="ListParagraph"/>
        <w:keepNext/>
        <w:keepLines/>
        <w:numPr>
          <w:ilvl w:val="0"/>
          <w:numId w:val="2"/>
        </w:numPr>
        <w:spacing w:after="60" w:line="264"/>
        <w:ind w:left="720" w:hanging="360"/>
      </w:pPr>
      <w:r>
        <w:rPr>
          <w:sz w:val="22"/>
          <w:szCs w:val="22"/>
        </w:rPr>
        <w:t xml:space="preserve">Students will score three candidates against those criteria and explain how a weight change alters the ranking.</w:t>
      </w:r>
    </w:p>
    <w:p>
      <w:pPr>
        <w:pStyle w:val="ListParagraph"/>
        <w:keepLines/>
        <w:numPr>
          <w:ilvl w:val="0"/>
          <w:numId w:val="2"/>
        </w:numPr>
        <w:spacing w:after="60" w:line="264"/>
        <w:ind w:left="720" w:hanging="360"/>
      </w:pPr>
      <w:r>
        <w:rPr>
          <w:sz w:val="22"/>
          <w:szCs w:val="22"/>
        </w:rPr>
        <w:t xml:space="preserve">Students will evaluate one hiring incentive by naming who pays for it and whose decision it changes.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In Round 1 each panel turns a job posting into five weighted criteria totaling one hundred points, defining the quantities that will describe candidate fit as this standard requires.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Round 3 asks panels to choose one hiring incentive and name whose decision it changes and who bears its cost, the incentive analysis this standard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job posting, weighted scoring, licensure, shift differential, incentive, hiring panel</w:t>
      </w:r>
    </w:p>
    <w:p>
      <w:pPr>
        <w:pStyle w:val="Heading2"/>
        <w:keepNext/>
        <w:keepLines/>
      </w:pPr>
      <w:r>
        <w:rPr>
          <w:sz w:val="28"/>
          <w:szCs w:val="28"/>
        </w:rPr>
        <w:t xml:space="preserve">Teacher overview</w:t>
      </w:r>
    </w:p>
    <w:p>
      <w:pPr>
        <w:spacing w:after="100" w:line="264"/>
      </w:pPr>
      <w:r>
        <w:rPr>
          <w:sz w:val="22"/>
          <w:szCs w:val="22"/>
        </w:rPr>
        <w:t xml:space="preserve">This is a role-play for panels of four, and it runs in one class period. Each panel acts as the hiring committee for an Operator in Training position at the fictional Fettercairn Water District, working from a job posting, three candidate summaries, and a small incentive budget. The scoring sheet carries the concept, because a panel cannot rank candidates until it has decided what the posting is actually asking for, which is the same decision a real committee makes when it turns requirements into a scoring sheet. The misconception the activity corrects is the belief that the most qualified candidate is simply the one with the most credentials, when an employer filling a trainee position often weights reliability, availability for rotating shifts, and willingness to pursue licensure above a credential already held.</w:t>
      </w:r>
    </w:p>
    <w:p>
      <w:pPr>
        <w:pStyle w:val="Heading2"/>
        <w:keepNext/>
        <w:keepLines/>
      </w:pPr>
      <w:r>
        <w:rPr>
          <w:sz w:val="28"/>
          <w:szCs w:val="28"/>
        </w:rPr>
        <w:t xml:space="preserve">Activity Directions</w:t>
      </w:r>
    </w:p>
    <w:p>
      <w:pPr>
        <w:pStyle w:val="ListParagraph"/>
        <w:keepNext/>
        <w:keepLines/>
        <w:numPr>
          <w:ilvl w:val="0"/>
          <w:numId w:val="3"/>
        </w:numPr>
        <w:spacing w:after="100" w:line="264"/>
        <w:ind w:left="720" w:hanging="360"/>
      </w:pPr>
      <w:r>
        <w:rPr>
          <w:b/>
          <w:bCs/>
          <w:sz w:val="22"/>
          <w:szCs w:val="22"/>
        </w:rPr>
        <w:t xml:space="preserve">Setup, five minutes.</w:t>
      </w:r>
      <w:r>
        <w:rPr>
          <w:sz w:val="22"/>
          <w:szCs w:val="22"/>
        </w:rPr>
        <w:t xml:space="preserve"> Form panels of four. Give each panel one job posting card, three candidate cards, four role cards, and one blank scoring sheet. Each member draws a role card: operations supervisor, human resources representative, senior operator, or safety coordinator. Each role card lists that member's two priorities, which do not fully agree with the others. The role cards read:</w:t>
      </w:r>
    </w:p>
    <w:p>
      <w:pPr>
        <w:pStyle w:val="ListParagraph"/>
        <w:keepNext/>
        <w:keepLines/>
        <w:numPr>
          <w:ilvl w:val="0"/>
          <w:numId w:val="4"/>
        </w:numPr>
        <w:spacing w:after="60" w:line="264"/>
        <w:ind w:left="1440" w:hanging="360"/>
      </w:pPr>
      <w:r>
        <w:rPr>
          <w:b/>
          <w:bCs/>
          <w:sz w:val="22"/>
          <w:szCs w:val="22"/>
        </w:rPr>
        <w:t xml:space="preserve">Operations supervisor:</w:t>
      </w:r>
      <w:r>
        <w:rPr>
          <w:sz w:val="22"/>
          <w:szCs w:val="22"/>
        </w:rPr>
        <w:t xml:space="preserve"> covering rotating shifts, and showing up reliably.</w:t>
      </w:r>
    </w:p>
    <w:p>
      <w:pPr>
        <w:pStyle w:val="ListParagraph"/>
        <w:keepNext/>
        <w:keepLines/>
        <w:numPr>
          <w:ilvl w:val="0"/>
          <w:numId w:val="4"/>
        </w:numPr>
        <w:spacing w:after="60" w:line="264"/>
        <w:ind w:left="1440" w:hanging="360"/>
      </w:pPr>
      <w:r>
        <w:rPr>
          <w:b/>
          <w:bCs/>
          <w:sz w:val="22"/>
          <w:szCs w:val="22"/>
        </w:rPr>
        <w:t xml:space="preserve">Human resources representative:</w:t>
      </w:r>
      <w:r>
        <w:rPr>
          <w:sz w:val="22"/>
          <w:szCs w:val="22"/>
        </w:rPr>
        <w:t xml:space="preserve"> meeting the posted requirements, and a fair, consistent process.</w:t>
      </w:r>
    </w:p>
    <w:p>
      <w:pPr>
        <w:pStyle w:val="ListParagraph"/>
        <w:keepNext/>
        <w:keepLines/>
        <w:numPr>
          <w:ilvl w:val="0"/>
          <w:numId w:val="4"/>
        </w:numPr>
        <w:spacing w:after="60" w:line="264"/>
        <w:ind w:left="1440" w:hanging="360"/>
      </w:pPr>
      <w:r>
        <w:rPr>
          <w:b/>
          <w:bCs/>
          <w:sz w:val="22"/>
          <w:szCs w:val="22"/>
        </w:rPr>
        <w:t xml:space="preserve">Senior operator:</w:t>
      </w:r>
      <w:r>
        <w:rPr>
          <w:sz w:val="22"/>
          <w:szCs w:val="22"/>
        </w:rPr>
        <w:t xml:space="preserve"> mechanical aptitude, and willingness to learn on the job.</w:t>
      </w:r>
    </w:p>
    <w:p>
      <w:pPr>
        <w:pStyle w:val="ListParagraph"/>
        <w:keepLines/>
        <w:numPr>
          <w:ilvl w:val="0"/>
          <w:numId w:val="4"/>
        </w:numPr>
        <w:spacing w:after="60" w:line="264"/>
        <w:ind w:left="1440" w:hanging="360"/>
      </w:pPr>
      <w:r>
        <w:rPr>
          <w:b/>
          <w:bCs/>
          <w:sz w:val="22"/>
          <w:szCs w:val="22"/>
        </w:rPr>
        <w:t xml:space="preserve">Safety coordinator:</w:t>
      </w:r>
      <w:r>
        <w:rPr>
          <w:sz w:val="22"/>
          <w:szCs w:val="22"/>
        </w:rPr>
        <w:t xml:space="preserve"> safe work habits, and meeting the 50-pound lifting requirement.</w:t>
      </w:r>
    </w:p>
    <w:p>
      <w:pPr>
        <w:spacing w:after="40" w:before="0" w:line="120" w:lineRule="exact"/>
      </w:pPr>
    </w:p>
    <w:p>
      <w:pPr>
        <w:pStyle w:val="ListParagraph"/>
        <w:keepLines/>
        <w:numPr>
          <w:ilvl w:val="0"/>
          <w:numId w:val="3"/>
        </w:numPr>
        <w:spacing w:after="100" w:line="264"/>
        <w:ind w:left="720" w:hanging="360"/>
      </w:pPr>
      <w:r>
        <w:rPr>
          <w:b/>
          <w:bCs/>
          <w:sz w:val="22"/>
          <w:szCs w:val="22"/>
        </w:rPr>
        <w:t xml:space="preserve">Read the posting, three minutes.</w:t>
      </w:r>
      <w:r>
        <w:rPr>
          <w:sz w:val="22"/>
          <w:szCs w:val="22"/>
        </w:rPr>
        <w:t xml:space="preserve"> Panels read the posting for the fictional Fettercairn Water District aloud. The position is Operator in Training. The posting asks for a high school diploma, a valid driver's license, the ability to lift 50 pounds, willingness to work rotating shifts including nights and weekends, and completion of the state Grade I treatment license within eighteen months, with the district paying exam fees and providing on-the-job training.</w:t>
      </w:r>
    </w:p>
    <w:p>
      <w:pPr>
        <w:pStyle w:val="ListParagraph"/>
        <w:keepLines/>
        <w:numPr>
          <w:ilvl w:val="0"/>
          <w:numId w:val="3"/>
        </w:numPr>
        <w:spacing w:after="100" w:line="264"/>
        <w:ind w:left="720" w:hanging="360"/>
      </w:pPr>
      <w:r>
        <w:rPr>
          <w:b/>
          <w:bCs/>
          <w:sz w:val="22"/>
          <w:szCs w:val="22"/>
        </w:rPr>
        <w:t xml:space="preserve">Round 1, build the scoring sheet, ten minutes.</w:t>
      </w:r>
      <w:r>
        <w:rPr>
          <w:sz w:val="22"/>
          <w:szCs w:val="22"/>
        </w:rPr>
        <w:t xml:space="preserve"> Each panel writes five criteria drawn from the posting and assigns each a weight, with the five weights totaling 100 points. Every member must argue for one weight using their role card. The panel records the final weights and one sentence of justification for the largest one.</w:t>
      </w:r>
    </w:p>
    <w:p>
      <w:pPr>
        <w:pStyle w:val="ListParagraph"/>
        <w:keepLines/>
        <w:numPr>
          <w:ilvl w:val="0"/>
          <w:numId w:val="3"/>
        </w:numPr>
        <w:spacing w:after="100" w:line="264"/>
        <w:ind w:left="720" w:hanging="360"/>
      </w:pPr>
      <w:r>
        <w:rPr>
          <w:b/>
          <w:bCs/>
          <w:sz w:val="22"/>
          <w:szCs w:val="22"/>
        </w:rPr>
        <w:t xml:space="preserve">Round 2, score the candidates, fifteen minutes.</w:t>
      </w:r>
      <w:r>
        <w:rPr>
          <w:sz w:val="22"/>
          <w:szCs w:val="22"/>
        </w:rPr>
        <w:t xml:space="preserve"> Panels rate each of the three candidates from 1 to 5 on each criterion, multiply by the weights, and total the scores. Every panel must produce three totals, even if the ranking seems obvious after the first candidate.</w:t>
      </w:r>
    </w:p>
    <w:p>
      <w:pPr>
        <w:pStyle w:val="ListParagraph"/>
        <w:keepLines/>
        <w:numPr>
          <w:ilvl w:val="0"/>
          <w:numId w:val="3"/>
        </w:numPr>
        <w:spacing w:after="100" w:line="264"/>
        <w:ind w:left="720" w:hanging="360"/>
      </w:pPr>
      <w:r>
        <w:rPr>
          <w:b/>
          <w:bCs/>
          <w:sz w:val="22"/>
          <w:szCs w:val="22"/>
        </w:rPr>
        <w:t xml:space="preserve">Round 3, choose an incentive, ten minutes.</w:t>
      </w:r>
      <w:r>
        <w:rPr>
          <w:sz w:val="22"/>
          <w:szCs w:val="22"/>
        </w:rPr>
        <w:t xml:space="preserve"> The district can attach exactly one incentive to its offer. The three options, all set for this fictional scenario, are paid exam fees with four hours of study time each month, a night shift differential of two dollars per hour, or a $3,000 relocation allowance. Each panel picks one, names the candidate whose decision it would most likely change, and notes what the district gives up by spending that money here.</w:t>
      </w:r>
    </w:p>
    <w:p>
      <w:pPr>
        <w:pStyle w:val="ListParagraph"/>
        <w:keepLines/>
        <w:numPr>
          <w:ilvl w:val="0"/>
          <w:numId w:val="3"/>
        </w:numPr>
        <w:spacing w:after="100" w:line="264"/>
        <w:ind w:left="720" w:hanging="360"/>
      </w:pPr>
      <w:r>
        <w:rPr>
          <w:b/>
          <w:bCs/>
          <w:sz w:val="22"/>
          <w:szCs w:val="22"/>
        </w:rPr>
        <w:t xml:space="preserve">Round 4, make the offer, seven minutes.</w:t>
      </w:r>
      <w:r>
        <w:rPr>
          <w:sz w:val="22"/>
          <w:szCs w:val="22"/>
        </w:rPr>
        <w:t xml:space="preserve"> Each panel announces its top candidate, its chosen incentive, and one sentence of justification. Record the results on the board so the class can see where panels differed.</w:t>
      </w:r>
    </w:p>
    <w:p>
      <w:pPr>
        <w:pStyle w:val="ListParagraph"/>
        <w:keepLines/>
        <w:numPr>
          <w:ilvl w:val="0"/>
          <w:numId w:val="3"/>
        </w:numPr>
        <w:spacing w:after="100" w:line="264"/>
        <w:ind w:left="720" w:hanging="360"/>
      </w:pPr>
      <w:r>
        <w:rPr>
          <w:b/>
          <w:bCs/>
          <w:sz w:val="22"/>
          <w:szCs w:val="22"/>
        </w:rPr>
        <w:t xml:space="preserve">Debrief, five minutes.</w:t>
      </w:r>
      <w:r>
        <w:rPr>
          <w:sz w:val="22"/>
          <w:szCs w:val="22"/>
        </w:rPr>
        <w:t xml:space="preserve"> Close by asking the class why panels that read the same posting produced different rankings, then have students complete the six questions on the Student Handout. The activity ends when every panel has reported and the handout is complete.</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scoring sheet with three of the five criteria already written and their weights left blank, so panels begin from a partly built model. Give the role cards with the two priorities written as short phrases and allow panels to score on a scale of 1 to 3 rather than 1 to 5.</w:t>
      </w:r>
    </w:p>
    <w:p>
      <w:pPr>
        <w:pStyle w:val="Heading3"/>
        <w:keepNext/>
        <w:keepLines/>
      </w:pPr>
      <w:r>
        <w:rPr>
          <w:sz w:val="24"/>
          <w:szCs w:val="24"/>
        </w:rPr>
        <w:t xml:space="preserve">Extension</w:t>
      </w:r>
    </w:p>
    <w:p>
      <w:pPr>
        <w:spacing w:after="100" w:line="264"/>
      </w:pPr>
      <w:r>
        <w:rPr>
          <w:sz w:val="22"/>
          <w:szCs w:val="22"/>
        </w:rPr>
        <w:t xml:space="preserve">Ask panels to write the two-paragraph offer letter to their chosen candidate, stating the position, the incentive, the licensure expectation, and the support the district provides. A second group should read the letter and report whether they would accept.</w:t>
      </w:r>
    </w:p>
    <w:p>
      <w:pPr>
        <w:pStyle w:val="Heading3"/>
        <w:keepNext/>
        <w:keepLines/>
      </w:pPr>
      <w:r>
        <w:rPr>
          <w:sz w:val="24"/>
          <w:szCs w:val="24"/>
        </w:rPr>
        <w:t xml:space="preserve">ELL supports</w:t>
      </w:r>
    </w:p>
    <w:p>
      <w:pPr>
        <w:spacing w:after="100" w:line="264"/>
      </w:pPr>
      <w:r>
        <w:rPr>
          <w:sz w:val="22"/>
          <w:szCs w:val="22"/>
        </w:rPr>
        <w:t xml:space="preserve">Pre-teach posting, weight, licensure, shift, and incentive with a simple sample scoring sheet already filled in for an unrelated job. Allow spoken responses to the handout questions before writing, and provide sentence frames for questions 3 and 5.</w:t>
      </w:r>
    </w:p>
    <w:p>
      <w:pPr>
        <w:pStyle w:val="Heading2"/>
        <w:keepNext/>
        <w:keepLines/>
      </w:pPr>
      <w:r>
        <w:rPr>
          <w:sz w:val="28"/>
          <w:szCs w:val="28"/>
        </w:rPr>
        <w:t xml:space="preserve">Extensions</w:t>
      </w:r>
    </w:p>
    <w:p>
      <w:pPr>
        <w:spacing w:after="100" w:line="264"/>
      </w:pPr>
      <w:r>
        <w:rPr>
          <w:sz w:val="22"/>
          <w:szCs w:val="22"/>
        </w:rPr>
        <w:t xml:space="preserve">Panels can repeat Round 2 after swapping role cards, then compare how much the ranking depends on who is at the table. A class can also compare the fictional posting with real openings at a nearby utility and list which requirements appear in both and which appear only in one.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Fettercairn's Hiring Panel: An Operator in Training Offer</w:t>
      </w:r>
    </w:p>
    <w:p>
      <w:pPr>
        <w:keepNext/>
        <w:spacing w:after="160"/>
      </w:pPr>
      <w:r>
        <w:rPr>
          <w:color w:val="5B6B70"/>
          <w:sz w:val="20"/>
          <w:szCs w:val="20"/>
        </w:rPr>
        <w:t xml:space="preserve">Grade 10 · Careers &amp; CTE</w:t>
      </w:r>
    </w:p>
    <w:p>
      <w:pPr>
        <w:pStyle w:val="Heading2"/>
        <w:keepNext/>
        <w:keepLines/>
      </w:pPr>
      <w:r>
        <w:rPr>
          <w:sz w:val="28"/>
          <w:szCs w:val="28"/>
        </w:rPr>
        <w:t xml:space="preserve">Student Handout</w:t>
      </w:r>
    </w:p>
    <w:p>
      <w:pPr>
        <w:keepNext/>
        <w:keepLines/>
        <w:spacing w:after="120" w:line="276"/>
      </w:pPr>
      <w:r>
        <w:rPr>
          <w:b/>
          <w:bCs/>
          <w:sz w:val="22"/>
          <w:szCs w:val="22"/>
        </w:rPr>
        <w:t xml:space="preserve">Fettercairn Water District, a fictional utility: hiring panel record</w:t>
      </w:r>
    </w:p>
    <w:p>
      <w:pPr>
        <w:keepNext/>
        <w:keepLines/>
        <w:spacing w:after="120" w:line="276"/>
      </w:pPr>
      <w:r>
        <w:rPr>
          <w:sz w:val="22"/>
          <w:szCs w:val="22"/>
        </w:rPr>
        <w:t xml:space="preserve">Your panel's five criteria and weights, totaling 100 points: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928"/>
        <w:gridCol w:w="2152"/>
      </w:tblGrid>
      <w:tr>
        <w:trPr>
          <w:cantSplit/>
          <w:tblHeader/>
        </w:trPr>
        <w:tc>
          <w:tcPr>
            <w:tcW w:type="dxa" w:w="792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Criterion</w:t>
            </w:r>
          </w:p>
        </w:tc>
        <w:tc>
          <w:tcPr>
            <w:tcW w:type="dxa" w:w="215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Weight</w:t>
            </w:r>
          </w:p>
        </w:tc>
      </w:tr>
      <w:tr>
        <w:trPr>
          <w:cantSplit/>
          <w:trHeight w:val="605" w:hRule="atLeast"/>
        </w:trPr>
        <w:tc>
          <w:tcPr>
            <w:tcW w:type="dxa" w:w="7928"/>
            <w:tcMar>
              <w:top w:type="dxa" w:w="70"/>
              <w:left w:type="dxa" w:w="100"/>
              <w:bottom w:type="dxa" w:w="70"/>
              <w:right w:type="dxa" w:w="100"/>
            </w:tcMar>
            <w:vAlign w:val="top"/>
          </w:tcPr>
          <w:p>
            <w:pPr>
              <w:keepNext/>
              <w:spacing w:after="0" w:line="252"/>
              <w:jc w:val="left"/>
            </w:pPr>
          </w:p>
        </w:tc>
        <w:tc>
          <w:tcPr>
            <w:tcW w:type="dxa" w:w="2152"/>
            <w:tcMar>
              <w:top w:type="dxa" w:w="70"/>
              <w:left w:type="dxa" w:w="100"/>
              <w:bottom w:type="dxa" w:w="70"/>
              <w:right w:type="dxa" w:w="100"/>
            </w:tcMar>
            <w:vAlign w:val="top"/>
          </w:tcPr>
          <w:p>
            <w:pPr>
              <w:keepNext/>
              <w:spacing w:after="0" w:line="252"/>
              <w:jc w:val="left"/>
            </w:pPr>
          </w:p>
        </w:tc>
      </w:tr>
      <w:tr>
        <w:trPr>
          <w:cantSplit/>
          <w:trHeight w:val="605" w:hRule="atLeast"/>
        </w:trPr>
        <w:tc>
          <w:tcPr>
            <w:tcW w:type="dxa" w:w="7928"/>
            <w:tcMar>
              <w:top w:type="dxa" w:w="70"/>
              <w:left w:type="dxa" w:w="100"/>
              <w:bottom w:type="dxa" w:w="70"/>
              <w:right w:type="dxa" w:w="100"/>
            </w:tcMar>
            <w:vAlign w:val="top"/>
          </w:tcPr>
          <w:p>
            <w:pPr>
              <w:keepNext/>
              <w:spacing w:after="0" w:line="252"/>
              <w:jc w:val="left"/>
            </w:pPr>
          </w:p>
        </w:tc>
        <w:tc>
          <w:tcPr>
            <w:tcW w:type="dxa" w:w="2152"/>
            <w:tcMar>
              <w:top w:type="dxa" w:w="70"/>
              <w:left w:type="dxa" w:w="100"/>
              <w:bottom w:type="dxa" w:w="70"/>
              <w:right w:type="dxa" w:w="100"/>
            </w:tcMar>
            <w:vAlign w:val="top"/>
          </w:tcPr>
          <w:p>
            <w:pPr>
              <w:keepNext/>
              <w:spacing w:after="0" w:line="252"/>
              <w:jc w:val="left"/>
            </w:pPr>
          </w:p>
        </w:tc>
      </w:tr>
      <w:tr>
        <w:trPr>
          <w:cantSplit/>
          <w:trHeight w:val="605" w:hRule="atLeast"/>
        </w:trPr>
        <w:tc>
          <w:tcPr>
            <w:tcW w:type="dxa" w:w="7928"/>
            <w:tcMar>
              <w:top w:type="dxa" w:w="70"/>
              <w:left w:type="dxa" w:w="100"/>
              <w:bottom w:type="dxa" w:w="70"/>
              <w:right w:type="dxa" w:w="100"/>
            </w:tcMar>
            <w:vAlign w:val="top"/>
          </w:tcPr>
          <w:p>
            <w:pPr>
              <w:keepNext/>
              <w:spacing w:after="0" w:line="252"/>
              <w:jc w:val="left"/>
            </w:pPr>
          </w:p>
        </w:tc>
        <w:tc>
          <w:tcPr>
            <w:tcW w:type="dxa" w:w="2152"/>
            <w:tcMar>
              <w:top w:type="dxa" w:w="70"/>
              <w:left w:type="dxa" w:w="100"/>
              <w:bottom w:type="dxa" w:w="70"/>
              <w:right w:type="dxa" w:w="100"/>
            </w:tcMar>
            <w:vAlign w:val="top"/>
          </w:tcPr>
          <w:p>
            <w:pPr>
              <w:keepNext/>
              <w:spacing w:after="0" w:line="252"/>
              <w:jc w:val="left"/>
            </w:pPr>
          </w:p>
        </w:tc>
      </w:tr>
      <w:tr>
        <w:trPr>
          <w:cantSplit/>
          <w:trHeight w:val="605" w:hRule="atLeast"/>
        </w:trPr>
        <w:tc>
          <w:tcPr>
            <w:tcW w:type="dxa" w:w="7928"/>
            <w:tcMar>
              <w:top w:type="dxa" w:w="70"/>
              <w:left w:type="dxa" w:w="100"/>
              <w:bottom w:type="dxa" w:w="70"/>
              <w:right w:type="dxa" w:w="100"/>
            </w:tcMar>
            <w:vAlign w:val="top"/>
          </w:tcPr>
          <w:p>
            <w:pPr>
              <w:keepNext/>
              <w:spacing w:after="0" w:line="252"/>
              <w:jc w:val="left"/>
            </w:pPr>
          </w:p>
        </w:tc>
        <w:tc>
          <w:tcPr>
            <w:tcW w:type="dxa" w:w="2152"/>
            <w:tcMar>
              <w:top w:type="dxa" w:w="70"/>
              <w:left w:type="dxa" w:w="100"/>
              <w:bottom w:type="dxa" w:w="70"/>
              <w:right w:type="dxa" w:w="100"/>
            </w:tcMar>
            <w:vAlign w:val="top"/>
          </w:tcPr>
          <w:p>
            <w:pPr>
              <w:keepNext/>
              <w:spacing w:after="0" w:line="252"/>
              <w:jc w:val="left"/>
            </w:pPr>
          </w:p>
        </w:tc>
      </w:tr>
      <w:tr>
        <w:trPr>
          <w:cantSplit/>
          <w:trHeight w:val="605" w:hRule="atLeast"/>
        </w:trPr>
        <w:tc>
          <w:tcPr>
            <w:tcW w:type="dxa" w:w="7928"/>
            <w:tcMar>
              <w:top w:type="dxa" w:w="70"/>
              <w:left w:type="dxa" w:w="100"/>
              <w:bottom w:type="dxa" w:w="70"/>
              <w:right w:type="dxa" w:w="100"/>
            </w:tcMar>
            <w:vAlign w:val="top"/>
          </w:tcPr>
          <w:p>
            <w:pPr>
              <w:spacing w:after="0" w:line="252"/>
              <w:jc w:val="left"/>
            </w:pPr>
          </w:p>
        </w:tc>
        <w:tc>
          <w:tcPr>
            <w:tcW w:type="dxa" w:w="2152"/>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sz w:val="22"/>
          <w:szCs w:val="22"/>
        </w:rPr>
        <w:t xml:space="preserve">Your candidate scores: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234"/>
        <w:gridCol w:w="5846"/>
      </w:tblGrid>
      <w:tr>
        <w:trPr>
          <w:cantSplit/>
          <w:tblHeader/>
        </w:trPr>
        <w:tc>
          <w:tcPr>
            <w:tcW w:type="dxa" w:w="423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Candidate</w:t>
            </w:r>
          </w:p>
        </w:tc>
        <w:tc>
          <w:tcPr>
            <w:tcW w:type="dxa" w:w="584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Weighted total</w:t>
            </w: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Priya Bhandari, six years as a utility maintenance mechanic, no license yet, lives eight miles away, available immediately</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Owen Solis, holds a Grade I treatment license, one year at a small plant, two-year environmental technology degree, lives forty-five miles away, cannot take night shifts without notice</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spacing w:after="0" w:line="252"/>
              <w:jc w:val="left"/>
            </w:pPr>
            <w:r>
              <w:rPr>
                <w:sz w:val="22"/>
                <w:szCs w:val="22"/>
              </w:rPr>
              <w:t xml:space="preserve">Dani Tenorio, three years of quality control laboratory work at a food plant, no plant experience, enrolled in a water technology certificate, available for any shift</w:t>
            </w:r>
          </w:p>
        </w:tc>
        <w:tc>
          <w:tcPr>
            <w:tcW w:type="dxa" w:w="5846"/>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sz w:val="22"/>
          <w:szCs w:val="22"/>
        </w:rPr>
        <w:t xml:space="preserve">Answer all six questions.</w:t>
      </w:r>
    </w:p>
    <w:p>
      <w:pPr>
        <w:pStyle w:val="ListParagraph"/>
        <w:keepNext/>
        <w:keepLines/>
        <w:numPr>
          <w:ilvl w:val="0"/>
          <w:numId w:val="5"/>
        </w:numPr>
        <w:spacing w:after="100" w:line="276"/>
        <w:ind w:left="720" w:hanging="360"/>
      </w:pPr>
      <w:r>
        <w:rPr>
          <w:sz w:val="22"/>
          <w:szCs w:val="22"/>
        </w:rPr>
        <w:t xml:space="preserve">Which criterion did your panel weight most heavily, and what in the job posting justified that weight?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Explain how changing one weight by ten points could change which candidate your panel ranked first.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The posting pays exam fees and expects the state license within eighteen months. What does that tell you about how this employer expects to fill the position?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Which incentive did your panel attach to the offer, and whose decision would it most likely change?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Name one cost and one benefit of the incentive your panel chose, from the district's point of view.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Name one change you would make to the job posting to attract a stronger pool of applicants, and explain why that change would work.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Fettercairn's Hiring Panel: An Operator in Training Offer</w:t>
      </w:r>
    </w:p>
    <w:p>
      <w:pPr>
        <w:keepNext/>
        <w:spacing w:after="160"/>
      </w:pPr>
      <w:r>
        <w:rPr>
          <w:color w:val="5B6B70"/>
          <w:sz w:val="20"/>
          <w:szCs w:val="20"/>
        </w:rPr>
        <w:t xml:space="preserve">Classroom activity · Grade 10 · Careers &amp; CTE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Accept any criterion drawn from the posting with a matching justification. Strong responses name a weight above 20 points and tie it to specific posting language, such as rotating shifts or the eighteen-month licensure requirement, rather than to a general idea of being qualified.</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Accept any explanation that traces one weight to a ranking change. Strong responses identify a criterion where two candidates differ sharply, such as shift availability or current licensure, and show that shifting points into that criterion moves one candidate past another.</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The employer expects to train the person it hires. Paying exam fees and setting a deadline rather than requiring a license at hire shows that the district is recruiting for reliability and willingness to learn, and is prepared to build the credential on the job.</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Accept any of the three incentives with a named candidate. Reasonable pairings include the relocation allowance for the candidate who lives forty-five miles away, the differential for a candidate who can take nights, and paid exam time for a candidate without a license.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Accept any cost and benefit pair stated from the district's side. The cost should be money or staff time that cannot then be spent elsewhere, and the benefit should be a specific change in who accepts the offer or how long that person stays.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Accept any posting change with a reason tied to the applicant pool. Strong responses name something concrete, such as stating the pay range, listing the shift rotation pattern, or naming the training the district provides, and explain which applicants that change would reach.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Fettercairn's Hiring Panel: An Operator in Training Offer</dc:title>
  <dc:subject>Classroom activity · Grade 10 · Careers &amp; CTE</dc:subject>
  <dc:creator>Water for Schools</dc:creator>
  <cp:keywords>Classroom activity, Grade 10, Careers &amp; CTE</cp:keywords>
  <dc:description>A grade 10 careers role-play where panels weight a job posting into a scoring sheet, rank three candidates, and choose one hiring incentive within a budget.</dc:description>
  <cp:lastModifiedBy>Water for Schools</cp:lastModifiedBy>
  <cp:revision>1</cp:revision>
  <dcterms:created xsi:type="dcterms:W3CDTF">2026-10-19T16:28:51.016Z</dcterms:created>
  <dcterms:modified xsi:type="dcterms:W3CDTF">2026-10-19T16:28:51.016Z</dcterms:modified>
</cp:coreProperties>
</file>

<file path=docProps/custom.xml><?xml version="1.0" encoding="utf-8"?>
<Properties xmlns="http://schemas.openxmlformats.org/officeDocument/2006/custom-properties" xmlns:vt="http://schemas.openxmlformats.org/officeDocument/2006/docPropsVTypes"/>
</file>