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Vantrell's Meter Readers and the Move to Advanced Metering</w:t>
      </w:r>
    </w:p>
    <w:p>
      <w:pPr>
        <w:keepNext/>
        <w:spacing w:after="160"/>
      </w:pPr>
      <w:r>
        <w:rPr>
          <w:color w:val="5B6B70"/>
          <w:sz w:val="20"/>
          <w:szCs w:val="20"/>
        </w:rPr>
        <w:t xml:space="preserve">Debate kit · Grade 11 · Careers &amp; CTE</w:t>
      </w:r>
    </w:p>
    <w:p>
      <w:pPr>
        <w:spacing w:after="100" w:line="264"/>
      </w:pPr>
      <w:r>
        <w:rPr>
          <w:i/>
          <w:iCs/>
          <w:color w:val="12333F"/>
          <w:sz w:val="22"/>
          <w:szCs w:val="22"/>
        </w:rPr>
        <w:t xml:space="preserve">A grade 11 careers debate kit on whether a utility should convert to advanced metering when the change ends four meter reading jobs,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converting a utility to advanced metering.</w:t>
      </w:r>
    </w:p>
    <w:p>
      <w:pPr>
        <w:pStyle w:val="ListParagraph"/>
        <w:keepNext/>
        <w:keepLines/>
        <w:numPr>
          <w:ilvl w:val="0"/>
          <w:numId w:val="2"/>
        </w:numPr>
        <w:spacing w:after="60" w:line="264"/>
        <w:ind w:left="720" w:hanging="360"/>
      </w:pPr>
      <w:r>
        <w:rPr>
          <w:sz w:val="22"/>
          <w:szCs w:val="22"/>
        </w:rPr>
        <w:t xml:space="preserve">Students will compare the marginal cost and marginal benefit of metering against pipe replacement.</w:t>
      </w:r>
    </w:p>
    <w:p>
      <w:pPr>
        <w:pStyle w:val="ListParagraph"/>
        <w:keepLines/>
        <w:numPr>
          <w:ilvl w:val="0"/>
          <w:numId w:val="2"/>
        </w:numPr>
        <w:spacing w:after="60" w:line="264"/>
        <w:ind w:left="720" w:hanging="360"/>
      </w:pPr>
      <w:r>
        <w:rPr>
          <w:sz w:val="22"/>
          <w:szCs w:val="22"/>
        </w:rPr>
        <w:t xml:space="preserve">Students will deliver a rebuttal that answers a specific opposing point using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Teams argue the marginal cost and marginal benefit of the conversion, comparing what the next dollar buys in metering against pipe replacement.</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 constructive speech and a rebuttal supporting a precise claim about the metering proposal with evidence named from the file.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advanced metering, endpoint, estimated read, leak alert, redeployment, capital cost</w:t>
      </w:r>
    </w:p>
    <w:p>
      <w:pPr>
        <w:pStyle w:val="Heading2"/>
        <w:keepNext/>
        <w:keepLines/>
      </w:pPr>
      <w:r>
        <w:rPr>
          <w:sz w:val="28"/>
          <w:szCs w:val="28"/>
        </w:rPr>
        <w:t xml:space="preserve">Teacher overview</w:t>
      </w:r>
    </w:p>
    <w:p>
      <w:pPr>
        <w:spacing w:after="100" w:line="264"/>
      </w:pPr>
      <w:r>
        <w:rPr>
          <w:sz w:val="22"/>
          <w:szCs w:val="22"/>
        </w:rPr>
        <w:t xml:space="preserve">This two-team structured debate runs across two class periods, with the first used for reading the evidence and drafting speeches. Teams argue for or against a fictional utility converting every meter in its service area to advanced metering, a change that ends four meter reading jobs and creates two different ones. The question is contested because the conversion buys real benefits for customers while spending money that could have gone into pipe, and because the workers who lose routes are not the same people who can fill the new positions. One point should be settled first. Advanced metering does not measure anything a current meter cannot measure. The meter still counts gallons, and what changes is how often the reading is collected and who has to walk to it. Teams that treat the proposal as a more accurate meter will argue past each other.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student a one-page card with the two strongest points for their assigned side, the source line written out, and a simple diagram showing a meter, an endpoint, a collector, and the billing system. Provide a rebuttal frame such as "They count the savings, but they do not count ___." Allow speakers to read from full notes.</w:t>
      </w:r>
    </w:p>
    <w:p>
      <w:pPr>
        <w:pStyle w:val="Heading3"/>
        <w:keepNext/>
        <w:keepLines/>
      </w:pPr>
      <w:r>
        <w:rPr>
          <w:sz w:val="24"/>
          <w:szCs w:val="24"/>
        </w:rPr>
        <w:t xml:space="preserve">Extension</w:t>
      </w:r>
    </w:p>
    <w:p>
      <w:pPr>
        <w:spacing w:after="100" w:line="264"/>
      </w:pPr>
      <w:r>
        <w:rPr>
          <w:sz w:val="22"/>
          <w:szCs w:val="22"/>
        </w:rPr>
        <w:t xml:space="preserve">Assign a pair of students to argue a third plan: convert one third of the service area each year for three years, keep two reading routes during the transition, and move readers into the new crew as positions open. They must say what the slower plan costs in interest and delay, and how the utility would judge after the first year whether to continue.</w:t>
      </w:r>
    </w:p>
    <w:p>
      <w:pPr>
        <w:pStyle w:val="Heading3"/>
        <w:keepNext/>
        <w:keepLines/>
      </w:pPr>
      <w:r>
        <w:rPr>
          <w:sz w:val="24"/>
          <w:szCs w:val="24"/>
        </w:rPr>
        <w:t xml:space="preserve">ELL supports</w:t>
      </w:r>
    </w:p>
    <w:p>
      <w:pPr>
        <w:spacing w:after="100" w:line="264"/>
      </w:pPr>
      <w:r>
        <w:rPr>
          <w:sz w:val="22"/>
          <w:szCs w:val="22"/>
        </w:rPr>
        <w:t xml:space="preserve">Pre-teach "endpoint," "collector," "estimated read," "leak alert," and "redeployment" with short definitions and a picture sequence showing how a reading travels from a meter to a bill under each option. Allow constructive speeches to be read from a script, and give each student one prepared cross-examination question.</w:t>
      </w:r>
    </w:p>
    <w:p>
      <w:pPr>
        <w:pStyle w:val="Heading2"/>
        <w:keepNext/>
        <w:keepLines/>
      </w:pPr>
      <w:r>
        <w:rPr>
          <w:sz w:val="28"/>
          <w:szCs w:val="28"/>
        </w:rPr>
        <w:t xml:space="preserve">Extensions</w:t>
      </w:r>
    </w:p>
    <w:p>
      <w:pPr>
        <w:spacing w:after="100" w:line="264"/>
      </w:pPr>
      <w:r>
        <w:rPr>
          <w:sz w:val="22"/>
          <w:szCs w:val="22"/>
        </w:rPr>
        <w:t xml:space="preserve">Have students find whether their own water utility has converted to advanced metering, since most utilities describe their metering program on a public page, and write two sentences on what the utility says the change did for customers. A second option is to have each team draft the customer notice the fictional utility would mail before installation, which forces them to explain hourly data collection and the data policy in language a customer would accept.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Vantrell's Meter Readers and the Move to Advanced Metering</w:t>
      </w:r>
    </w:p>
    <w:p>
      <w:pPr>
        <w:keepNext/>
        <w:spacing w:after="160"/>
      </w:pPr>
      <w:r>
        <w:rPr>
          <w:color w:val="5B6B70"/>
          <w:sz w:val="20"/>
          <w:szCs w:val="20"/>
        </w:rPr>
        <w:t xml:space="preserve">Grade 11 · Careers &amp; CTE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"Vantrell Water should convert its whole service area to advanced metering this year, even though the change ends the utility's four meter reader positions."</w:t>
      </w:r>
    </w:p>
    <w:p>
      <w:pPr>
        <w:spacing w:after="120" w:line="276"/>
      </w:pPr>
      <w:r>
        <w:rPr>
          <w:b/>
          <w:bCs/>
          <w:sz w:val="22"/>
          <w:szCs w:val="22"/>
        </w:rPr>
        <w:t xml:space="preserve">Background.</w:t>
      </w:r>
      <w:r>
        <w:rPr>
          <w:sz w:val="22"/>
          <w:szCs w:val="22"/>
        </w:rPr>
        <w:t xml:space="preserve"> Vantrell Water is a fictional utility with about 11,000 accounts. Four meter readers now cover the city on monthly routes. Each reader walks or drives a route, opens meter boxes, records readings, and flags meters that cannot be read.</w:t>
      </w:r>
    </w:p>
    <w:p>
      <w:pPr>
        <w:spacing w:after="120" w:line="276"/>
      </w:pPr>
      <w:r>
        <w:rPr>
          <w:sz w:val="22"/>
          <w:szCs w:val="22"/>
        </w:rPr>
        <w:t xml:space="preserve">The proposal would fit every meter with a radio endpoint and install collectors on existing tanks and poles. Readings would arrive hourly instead of monthly. No one would walk a route. The fictional project would cost about $2.4 million, paid from a twenty-year loan that goes onto the water rate.</w:t>
      </w:r>
    </w:p>
    <w:p>
      <w:pPr>
        <w:spacing w:after="120" w:line="276"/>
      </w:pPr>
      <w:r>
        <w:rPr>
          <w:sz w:val="22"/>
          <w:szCs w:val="22"/>
        </w:rPr>
        <w:t xml:space="preserve">The utility proposes moving two of the four readers into a new meter services and leak response crew, with paid training. The other two would be offered a transfer to the distribution crew or a severance package. In the fictional utility's staffing record, two of the four readers have worked there more than twenty years.</w:t>
      </w:r>
    </w:p>
    <w:p>
      <w:pPr>
        <w:spacing w:after="120" w:line="276"/>
      </w:pPr>
      <w:r>
        <w:rPr>
          <w:b/>
          <w:bCs/>
          <w:sz w:val="22"/>
          <w:szCs w:val="22"/>
        </w:rPr>
        <w:t xml:space="preserve">Roles.</w:t>
      </w:r>
      <w:r>
        <w:rPr>
          <w:sz w:val="22"/>
          <w:szCs w:val="22"/>
        </w:rPr>
        <w:t xml:space="preserve"> The affirmative team of three speakers argues as the utility's general manager and finance director. The negative team of three speakers argues as the employees' union and a customer from the rate board. One student moderates and keeps time. The rest of the class judges with the rubric and votes at the close.</w:t>
      </w:r>
    </w:p>
    <w:p>
      <w:pPr>
        <w:spacing w:after="120" w:line="276"/>
      </w:pPr>
      <w:r>
        <w:rPr>
          <w:b/>
          <w:bCs/>
          <w:sz w:val="22"/>
          <w:szCs w:val="22"/>
        </w:rPr>
        <w:t xml:space="preserve">Format.</w:t>
      </w:r>
      <w:r>
        <w:rPr>
          <w:sz w:val="22"/>
          <w:szCs w:val="22"/>
        </w:rPr>
        <w:t xml:space="preserve"> Each team gives a four-minute constructive speech, then answers two minutes of cross-examination. After a three-minute preparation break, each team gives a three-minute rebuttal. The moderator takes a vote and asks two judges to say what decided it.</w:t>
      </w:r>
    </w:p>
    <w:p>
      <w:pPr>
        <w:pStyle w:val="Heading2"/>
        <w:keepNext/>
        <w:keepLines/>
      </w:pPr>
      <w:r>
        <w:rPr>
          <w:sz w:val="28"/>
          <w:szCs w:val="28"/>
        </w:rPr>
        <w:t xml:space="preserve">Evidence File</w:t>
      </w:r>
    </w:p>
    <w:p>
      <w:pPr>
        <w:keepNext/>
        <w:keepLines/>
        <w:spacing w:after="120" w:line="276"/>
      </w:pPr>
      <w:r>
        <w:rPr>
          <w:b/>
          <w:bCs/>
          <w:sz w:val="22"/>
          <w:szCs w:val="22"/>
        </w:rPr>
        <w:t xml:space="preserve">Case for converting to advanced metering:</w:t>
      </w:r>
    </w:p>
    <w:p>
      <w:pPr>
        <w:pStyle w:val="ListParagraph"/>
        <w:keepLines/>
        <w:numPr>
          <w:ilvl w:val="0"/>
          <w:numId w:val="3"/>
        </w:numPr>
        <w:spacing w:after="60" w:line="276"/>
        <w:ind w:left="720" w:hanging="360"/>
      </w:pPr>
      <w:r>
        <w:rPr>
          <w:sz w:val="22"/>
          <w:szCs w:val="22"/>
        </w:rPr>
        <w:t xml:space="preserve">Leaks get caught in days rather than months. Household leaks waste an average of about 180 gallons per week, close to 9,400 gallons in a year, and a customer on a monthly route learns about a running toilet only when the bill arrives. (Source: EPA WaterSense Fix a Leak Week.)</w:t>
      </w:r>
    </w:p>
    <w:p>
      <w:pPr>
        <w:pStyle w:val="ListParagraph"/>
        <w:keepLines/>
        <w:numPr>
          <w:ilvl w:val="0"/>
          <w:numId w:val="3"/>
        </w:numPr>
        <w:spacing w:after="60" w:line="276"/>
        <w:ind w:left="720" w:hanging="360"/>
      </w:pPr>
      <w:r>
        <w:rPr>
          <w:sz w:val="22"/>
          <w:szCs w:val="22"/>
        </w:rPr>
        <w:t xml:space="preserve">Hourly data shows a household where its water actually goes. The average US household uses about 300 gallons per day, roughly 70 percent of it indoors, and an hourly pattern separates irrigation from a continuous indoor flow that never stops. (Source: EPA WaterSense.)</w:t>
      </w:r>
    </w:p>
    <w:p>
      <w:pPr>
        <w:pStyle w:val="ListParagraph"/>
        <w:keepLines/>
        <w:numPr>
          <w:ilvl w:val="0"/>
          <w:numId w:val="3"/>
        </w:numPr>
        <w:spacing w:after="60" w:line="276"/>
        <w:ind w:left="720" w:hanging="360"/>
      </w:pPr>
      <w:r>
        <w:rPr>
          <w:sz w:val="22"/>
          <w:szCs w:val="22"/>
        </w:rPr>
        <w:t xml:space="preserve">Estimated reads and the disputes that follow them mostly end. A move-in or move-out read no longer needs a truck, and a customer who questions a bill can be shown the hour the use occurred. (Illustrative point created for this debate.)</w:t>
      </w:r>
    </w:p>
    <w:p>
      <w:pPr>
        <w:pStyle w:val="ListParagraph"/>
        <w:keepLines/>
        <w:numPr>
          <w:ilvl w:val="0"/>
          <w:numId w:val="3"/>
        </w:numPr>
        <w:spacing w:after="60" w:line="276"/>
        <w:ind w:left="720" w:hanging="360"/>
      </w:pPr>
      <w:r>
        <w:rPr>
          <w:sz w:val="22"/>
          <w:szCs w:val="22"/>
        </w:rPr>
        <w:t xml:space="preserve">Route reading is hard on people. Readers walk private property in every kind of weather, deal with dogs and traffic, and lift heavy meter box lids all day. (Illustrative point created for this debate.)</w:t>
      </w:r>
    </w:p>
    <w:p>
      <w:pPr>
        <w:pStyle w:val="ListParagraph"/>
        <w:keepLines/>
        <w:numPr>
          <w:ilvl w:val="0"/>
          <w:numId w:val="3"/>
        </w:numPr>
        <w:spacing w:after="60" w:line="276"/>
        <w:ind w:left="720" w:hanging="360"/>
      </w:pPr>
      <w:r>
        <w:rPr>
          <w:sz w:val="22"/>
          <w:szCs w:val="22"/>
        </w:rPr>
        <w:t xml:space="preserve">The two new positions pay more and build transferable skill. A meter services technician installs and troubleshoots endpoints, and a data technician maintains the collector network and the leak alert reports, which are skills that transfer to other utilities. (Illustrative point created for this debate.)</w:t>
      </w:r>
    </w:p>
    <w:p>
      <w:pPr>
        <w:spacing w:after="40" w:before="0" w:line="120" w:lineRule="exact"/>
      </w:pPr>
    </w:p>
    <w:p>
      <w:pPr>
        <w:keepNext/>
        <w:keepLines/>
        <w:spacing w:after="120" w:line="276"/>
      </w:pPr>
      <w:r>
        <w:rPr>
          <w:b/>
          <w:bCs/>
          <w:sz w:val="22"/>
          <w:szCs w:val="22"/>
        </w:rPr>
        <w:t xml:space="preserve">Case against converting to advanced metering:</w:t>
      </w:r>
    </w:p>
    <w:p>
      <w:pPr>
        <w:pStyle w:val="ListParagraph"/>
        <w:keepLines/>
        <w:numPr>
          <w:ilvl w:val="0"/>
          <w:numId w:val="4"/>
        </w:numPr>
        <w:spacing w:after="60" w:line="276"/>
        <w:ind w:left="720" w:hanging="360"/>
      </w:pPr>
      <w:r>
        <w:rPr>
          <w:sz w:val="22"/>
          <w:szCs w:val="22"/>
        </w:rPr>
        <w:t xml:space="preserve">The customers pay for it. Combined water and sewer bills rose about 24 percent from 2019 to 2024 and about 5.1 percent in 2025, and a widely used rule of thumb, built from two EPA benchmarks, treats combined water and sewer bills above about 4.5 percent of household income as a high burden. The loan payment lands on every bill for twenty years. (Source: Bluefield Research rate surveys; EPA Water Affordability Needs Assessment, 2024.)</w:t>
      </w:r>
    </w:p>
    <w:p>
      <w:pPr>
        <w:pStyle w:val="ListParagraph"/>
        <w:keepLines/>
        <w:numPr>
          <w:ilvl w:val="0"/>
          <w:numId w:val="4"/>
        </w:numPr>
        <w:spacing w:after="60" w:line="276"/>
        <w:ind w:left="720" w:hanging="360"/>
      </w:pPr>
      <w:r>
        <w:rPr>
          <w:sz w:val="22"/>
          <w:szCs w:val="22"/>
        </w:rPr>
        <w:t xml:space="preserve">The cost repeats. In the fictional vendor quote written for this debate, the endpoints carry a fifteen-year battery life, so the utility would begin replacing them before the twenty-year loan is paid off. (Illustrative figure created for this debate.)</w:t>
      </w:r>
    </w:p>
    <w:p>
      <w:pPr>
        <w:pStyle w:val="ListParagraph"/>
        <w:keepLines/>
        <w:numPr>
          <w:ilvl w:val="0"/>
          <w:numId w:val="4"/>
        </w:numPr>
        <w:spacing w:after="60" w:line="276"/>
        <w:ind w:left="720" w:hanging="360"/>
      </w:pPr>
      <w:r>
        <w:rPr>
          <w:sz w:val="22"/>
          <w:szCs w:val="22"/>
        </w:rPr>
        <w:t xml:space="preserve">Two of the four readers will probably not transition. The new positions ask for radio network and data skills, and the utility's record shows two readers with more than twenty years of route work and no electrical or data background. Severance pays for a few months and leaves the worker to find the next position alone. (Illustrative point created for this debate.)</w:t>
      </w:r>
    </w:p>
    <w:p>
      <w:pPr>
        <w:pStyle w:val="ListParagraph"/>
        <w:keepLines/>
        <w:numPr>
          <w:ilvl w:val="0"/>
          <w:numId w:val="4"/>
        </w:numPr>
        <w:spacing w:after="60" w:line="276"/>
        <w:ind w:left="720" w:hanging="360"/>
      </w:pPr>
      <w:r>
        <w:rPr>
          <w:sz w:val="22"/>
          <w:szCs w:val="22"/>
        </w:rPr>
        <w:t xml:space="preserve">Readers see what software cannot. On a route they find water running in a yard, a meter box full of water, a broken backflow assembly at a business, and a customer who has not collected the mail in a week. None of those appears in a meter reading. (Illustrative point created for this debate.)</w:t>
      </w:r>
    </w:p>
    <w:p>
      <w:pPr>
        <w:pStyle w:val="ListParagraph"/>
        <w:keepLines/>
        <w:numPr>
          <w:ilvl w:val="0"/>
          <w:numId w:val="4"/>
        </w:numPr>
        <w:spacing w:after="60" w:line="276"/>
        <w:ind w:left="720" w:hanging="360"/>
      </w:pPr>
      <w:r>
        <w:rPr>
          <w:sz w:val="22"/>
          <w:szCs w:val="22"/>
        </w:rPr>
        <w:t xml:space="preserve">Hourly consumption data records when a household is awake, away, or home. The utility has no policy on how long that data is kept or who may request it, and it would need one before the first collector is installed. (Illustrative point created for this debate.)</w:t>
      </w:r>
    </w:p>
    <w:p>
      <w:pPr>
        <w:pStyle w:val="ListParagraph"/>
        <w:keepLines/>
        <w:numPr>
          <w:ilvl w:val="0"/>
          <w:numId w:val="4"/>
        </w:numPr>
        <w:spacing w:after="60" w:line="276"/>
        <w:ind w:left="720" w:hanging="360"/>
      </w:pPr>
      <w:r>
        <w:rPr>
          <w:sz w:val="22"/>
          <w:szCs w:val="22"/>
        </w:rPr>
        <w:t xml:space="preserve">A fictional rate board member argues that the same money would replace about one and a half miles of cast iron main. The ASCE 2025 Infrastructure Report Card gave US drinking water a C-, and a water main breaks somewhere in the country roughly every two minutes. (Source: ASCE 2025 Report Card for America's Infrastructure.)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Vantrell's Meter Readers and the Move to Advanced Metering</w:t>
      </w:r>
    </w:p>
    <w:p>
      <w:pPr>
        <w:keepNext/>
        <w:spacing w:after="160"/>
      </w:pPr>
      <w:r>
        <w:rPr>
          <w:color w:val="5B6B70"/>
          <w:sz w:val="20"/>
          <w:szCs w:val="20"/>
        </w:rPr>
        <w:t xml:space="preserve">Debate kit · Grade 11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185"/>
        <w:gridCol w:w="2424"/>
        <w:gridCol w:w="3696"/>
        <w:gridCol w:w="4106"/>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Position is unclear or shifts during the round</w:t>
            </w:r>
          </w:p>
        </w:tc>
        <w:tc>
          <w:tcPr>
            <w:tcW w:type="dxa" w:w="2424"/>
            <w:tcMar>
              <w:top w:type="dxa" w:w="70"/>
              <w:left w:type="dxa" w:w="100"/>
              <w:bottom w:type="dxa" w:w="70"/>
              <w:right w:type="dxa" w:w="100"/>
            </w:tcMar>
            <w:vAlign w:val="top"/>
          </w:tcPr>
          <w:p>
            <w:pPr>
              <w:keepNext/>
              <w:spacing w:after="0" w:line="252"/>
              <w:jc w:val="left"/>
            </w:pPr>
            <w:r>
              <w:rPr>
                <w:sz w:val="20"/>
                <w:szCs w:val="20"/>
              </w:rPr>
              <w:t xml:space="preserve">States a position without tying it to the resolution</w:t>
            </w:r>
          </w:p>
        </w:tc>
        <w:tc>
          <w:tcPr>
            <w:tcW w:type="dxa" w:w="3696"/>
            <w:tcMar>
              <w:top w:type="dxa" w:w="70"/>
              <w:left w:type="dxa" w:w="100"/>
              <w:bottom w:type="dxa" w:w="70"/>
              <w:right w:type="dxa" w:w="100"/>
            </w:tcMar>
            <w:vAlign w:val="top"/>
          </w:tcPr>
          <w:p>
            <w:pPr>
              <w:keepNext/>
              <w:spacing w:after="0" w:line="252"/>
              <w:jc w:val="left"/>
            </w:pPr>
            <w:r>
              <w:rPr>
                <w:sz w:val="20"/>
                <w:szCs w:val="20"/>
              </w:rPr>
              <w:t xml:space="preserve">States a precise position on the resolution and holds it across both speeches</w:t>
            </w:r>
          </w:p>
        </w:tc>
        <w:tc>
          <w:tcPr>
            <w:tcW w:type="dxa" w:w="4106"/>
            <w:tcMar>
              <w:top w:type="dxa" w:w="70"/>
              <w:left w:type="dxa" w:w="100"/>
              <w:bottom w:type="dxa" w:w="70"/>
              <w:right w:type="dxa" w:w="100"/>
            </w:tcMar>
            <w:vAlign w:val="top"/>
          </w:tcPr>
          <w:p>
            <w:pPr>
              <w:keepNext/>
              <w:spacing w:after="0" w:line="252"/>
              <w:jc w:val="left"/>
            </w:pPr>
            <w:r>
              <w:rPr>
                <w:sz w:val="20"/>
                <w:szCs w:val="20"/>
              </w:rPr>
              <w:t xml:space="preserve">States a precise position, holds it, and names what evidence would change it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Marginal cost and benefit</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Names neither a cost nor a benefit</w:t>
            </w:r>
          </w:p>
        </w:tc>
        <w:tc>
          <w:tcPr>
            <w:tcW w:type="dxa" w:w="2424"/>
            <w:tcMar>
              <w:top w:type="dxa" w:w="70"/>
              <w:left w:type="dxa" w:w="100"/>
              <w:bottom w:type="dxa" w:w="70"/>
              <w:right w:type="dxa" w:w="100"/>
            </w:tcMar>
            <w:vAlign w:val="top"/>
          </w:tcPr>
          <w:p>
            <w:pPr>
              <w:keepNext/>
              <w:spacing w:after="0" w:line="252"/>
              <w:jc w:val="left"/>
            </w:pPr>
            <w:r>
              <w:rPr>
                <w:sz w:val="20"/>
                <w:szCs w:val="20"/>
              </w:rPr>
              <w:t xml:space="preserve">Names a cost or a benefit but not both</w:t>
            </w:r>
          </w:p>
        </w:tc>
        <w:tc>
          <w:tcPr>
            <w:tcW w:type="dxa" w:w="3696"/>
            <w:tcMar>
              <w:top w:type="dxa" w:w="70"/>
              <w:left w:type="dxa" w:w="100"/>
              <w:bottom w:type="dxa" w:w="70"/>
              <w:right w:type="dxa" w:w="100"/>
            </w:tcMar>
            <w:vAlign w:val="top"/>
          </w:tcPr>
          <w:p>
            <w:pPr>
              <w:keepNext/>
              <w:spacing w:after="0" w:line="252"/>
              <w:jc w:val="left"/>
            </w:pPr>
            <w:r>
              <w:rPr>
                <w:sz w:val="20"/>
                <w:szCs w:val="20"/>
              </w:rPr>
              <w:t xml:space="preserve">Names a specific cost and a specific benefit of its own position</w:t>
            </w:r>
          </w:p>
        </w:tc>
        <w:tc>
          <w:tcPr>
            <w:tcW w:type="dxa" w:w="4106"/>
            <w:tcMar>
              <w:top w:type="dxa" w:w="70"/>
              <w:left w:type="dxa" w:w="100"/>
              <w:bottom w:type="dxa" w:w="70"/>
              <w:right w:type="dxa" w:w="100"/>
            </w:tcMar>
            <w:vAlign w:val="top"/>
          </w:tcPr>
          <w:p>
            <w:pPr>
              <w:keepNext/>
              <w:spacing w:after="0" w:line="252"/>
              <w:jc w:val="left"/>
            </w:pPr>
            <w:r>
              <w:rPr>
                <w:sz w:val="20"/>
                <w:szCs w:val="20"/>
              </w:rPr>
              <w:t xml:space="preserve">Compares what the next dollar buys under each option and explains which comparison decides the question</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Treatment of the four workers</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Ignores the staffing effect</w:t>
            </w:r>
          </w:p>
        </w:tc>
        <w:tc>
          <w:tcPr>
            <w:tcW w:type="dxa" w:w="2424"/>
            <w:tcMar>
              <w:top w:type="dxa" w:w="70"/>
              <w:left w:type="dxa" w:w="100"/>
              <w:bottom w:type="dxa" w:w="70"/>
              <w:right w:type="dxa" w:w="100"/>
            </w:tcMar>
            <w:vAlign w:val="top"/>
          </w:tcPr>
          <w:p>
            <w:pPr>
              <w:keepNext/>
              <w:spacing w:after="0" w:line="252"/>
              <w:jc w:val="left"/>
            </w:pPr>
            <w:r>
              <w:rPr>
                <w:sz w:val="20"/>
                <w:szCs w:val="20"/>
              </w:rPr>
              <w:t xml:space="preserve">Mentions the jobs without a plan</w:t>
            </w:r>
          </w:p>
        </w:tc>
        <w:tc>
          <w:tcPr>
            <w:tcW w:type="dxa" w:w="3696"/>
            <w:tcMar>
              <w:top w:type="dxa" w:w="70"/>
              <w:left w:type="dxa" w:w="100"/>
              <w:bottom w:type="dxa" w:w="70"/>
              <w:right w:type="dxa" w:w="100"/>
            </w:tcMar>
            <w:vAlign w:val="top"/>
          </w:tcPr>
          <w:p>
            <w:pPr>
              <w:keepNext/>
              <w:spacing w:after="0" w:line="252"/>
              <w:jc w:val="left"/>
            </w:pPr>
            <w:r>
              <w:rPr>
                <w:sz w:val="20"/>
                <w:szCs w:val="20"/>
              </w:rPr>
              <w:t xml:space="preserve">States what happens to each of the four positions under its plan</w:t>
            </w:r>
          </w:p>
        </w:tc>
        <w:tc>
          <w:tcPr>
            <w:tcW w:type="dxa" w:w="4106"/>
            <w:tcMar>
              <w:top w:type="dxa" w:w="70"/>
              <w:left w:type="dxa" w:w="100"/>
              <w:bottom w:type="dxa" w:w="70"/>
              <w:right w:type="dxa" w:w="100"/>
            </w:tcMar>
            <w:vAlign w:val="top"/>
          </w:tcPr>
          <w:p>
            <w:pPr>
              <w:keepNext/>
              <w:spacing w:after="0" w:line="252"/>
              <w:jc w:val="left"/>
            </w:pPr>
            <w:r>
              <w:rPr>
                <w:sz w:val="20"/>
                <w:szCs w:val="20"/>
              </w:rPr>
              <w:t xml:space="preserve">States what happens to each position, names who is likely to transition, and addresses the two who may not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Asserts points with no evidence named</w:t>
            </w:r>
          </w:p>
        </w:tc>
        <w:tc>
          <w:tcPr>
            <w:tcW w:type="dxa" w:w="2424"/>
            <w:tcMar>
              <w:top w:type="dxa" w:w="70"/>
              <w:left w:type="dxa" w:w="100"/>
              <w:bottom w:type="dxa" w:w="70"/>
              <w:right w:type="dxa" w:w="100"/>
            </w:tcMar>
            <w:vAlign w:val="top"/>
          </w:tcPr>
          <w:p>
            <w:pPr>
              <w:keepNext/>
              <w:spacing w:after="0" w:line="252"/>
              <w:jc w:val="left"/>
            </w:pPr>
            <w:r>
              <w:rPr>
                <w:sz w:val="20"/>
                <w:szCs w:val="20"/>
              </w:rPr>
              <w:t xml:space="preserve">Names one piece of evidence without explaining relevance</w:t>
            </w:r>
          </w:p>
        </w:tc>
        <w:tc>
          <w:tcPr>
            <w:tcW w:type="dxa" w:w="3696"/>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claim</w:t>
            </w:r>
          </w:p>
        </w:tc>
        <w:tc>
          <w:tcPr>
            <w:tcW w:type="dxa" w:w="4106"/>
            <w:tcMar>
              <w:top w:type="dxa" w:w="70"/>
              <w:left w:type="dxa" w:w="100"/>
              <w:bottom w:type="dxa" w:w="70"/>
              <w:right w:type="dxa" w:w="100"/>
            </w:tcMar>
            <w:vAlign w:val="top"/>
          </w:tcPr>
          <w:p>
            <w:pPr>
              <w:keepNext/>
              <w:spacing w:after="0" w:line="252"/>
              <w:jc w:val="left"/>
            </w:pPr>
            <w:r>
              <w:rPr>
                <w:sz w:val="20"/>
                <w:szCs w:val="20"/>
              </w:rPr>
              <w:t xml:space="preserve">Uses several pieces and separates documented facts from the file's illustrative material</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Rebuttal and delivery</w:t>
            </w:r>
          </w:p>
        </w:tc>
        <w:tc>
          <w:tcPr>
            <w:tcW w:type="dxa" w:w="2185"/>
            <w:tcMar>
              <w:top w:type="dxa" w:w="70"/>
              <w:left w:type="dxa" w:w="100"/>
              <w:bottom w:type="dxa" w:w="70"/>
              <w:right w:type="dxa" w:w="100"/>
            </w:tcMar>
            <w:vAlign w:val="top"/>
          </w:tcPr>
          <w:p>
            <w:pPr>
              <w:spacing w:after="0" w:line="252"/>
              <w:jc w:val="left"/>
            </w:pPr>
            <w:r>
              <w:rPr>
                <w:sz w:val="20"/>
                <w:szCs w:val="20"/>
              </w:rPr>
              <w:t xml:space="preserve">Does not answer the other team and is hard to follow</w:t>
            </w:r>
          </w:p>
        </w:tc>
        <w:tc>
          <w:tcPr>
            <w:tcW w:type="dxa" w:w="2424"/>
            <w:tcMar>
              <w:top w:type="dxa" w:w="70"/>
              <w:left w:type="dxa" w:w="100"/>
              <w:bottom w:type="dxa" w:w="70"/>
              <w:right w:type="dxa" w:w="100"/>
            </w:tcMar>
            <w:vAlign w:val="top"/>
          </w:tcPr>
          <w:p>
            <w:pPr>
              <w:spacing w:after="0" w:line="252"/>
              <w:jc w:val="left"/>
            </w:pPr>
            <w:r>
              <w:rPr>
                <w:sz w:val="20"/>
                <w:szCs w:val="20"/>
              </w:rPr>
              <w:t xml:space="preserve">Restates its own case instead of answering</w:t>
            </w:r>
          </w:p>
        </w:tc>
        <w:tc>
          <w:tcPr>
            <w:tcW w:type="dxa" w:w="3696"/>
            <w:tcMar>
              <w:top w:type="dxa" w:w="70"/>
              <w:left w:type="dxa" w:w="100"/>
              <w:bottom w:type="dxa" w:w="70"/>
              <w:right w:type="dxa" w:w="100"/>
            </w:tcMar>
            <w:vAlign w:val="top"/>
          </w:tcPr>
          <w:p>
            <w:pPr>
              <w:spacing w:after="0" w:line="252"/>
              <w:jc w:val="left"/>
            </w:pPr>
            <w:r>
              <w:rPr>
                <w:sz w:val="20"/>
                <w:szCs w:val="20"/>
              </w:rPr>
              <w:t xml:space="preserve">Answers a specific opposing point within time, with clear structure</w:t>
            </w:r>
          </w:p>
        </w:tc>
        <w:tc>
          <w:tcPr>
            <w:tcW w:type="dxa" w:w="4106"/>
            <w:tcMar>
              <w:top w:type="dxa" w:w="70"/>
              <w:left w:type="dxa" w:w="100"/>
              <w:bottom w:type="dxa" w:w="70"/>
              <w:right w:type="dxa" w:w="100"/>
            </w:tcMar>
            <w:vAlign w:val="top"/>
          </w:tcPr>
          <w:p>
            <w:pPr>
              <w:spacing w:after="0" w:line="252"/>
              <w:jc w:val="left"/>
            </w:pPr>
            <w:r>
              <w:rPr>
                <w:sz w:val="20"/>
                <w:szCs w:val="20"/>
              </w:rPr>
              <w:t xml:space="preserve">Answers several opposing points, stays within time, and responds directly to the moderator and judges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Vantrell's Meter Readers and the Move to Advanced Metering</dc:title>
  <dc:subject>Debate kit · Grade 11 · Careers &amp; CTE</dc:subject>
  <dc:creator>Water for Schools</dc:creator>
  <cp:keywords>Debate kit, Grade 11, Careers &amp; CTE</cp:keywords>
  <dc:description>A grade 11 careers debate kit on whether a utility should convert to advanced metering when the change ends four meter reading jobs, with two-sided evidence.</dc:description>
  <cp:lastModifiedBy>Water for Schools</cp:lastModifiedBy>
  <cp:revision>1</cp:revision>
  <dcterms:created xsi:type="dcterms:W3CDTF">2026-10-19T16:28:51.789Z</dcterms:created>
  <dcterms:modified xsi:type="dcterms:W3CDTF">2026-10-19T16:28:51.789Z</dcterms:modified>
</cp:coreProperties>
</file>

<file path=docProps/custom.xml><?xml version="1.0" encoding="utf-8"?>
<Properties xmlns="http://schemas.openxmlformats.org/officeDocument/2006/custom-properties" xmlns:vt="http://schemas.openxmlformats.org/officeDocument/2006/docPropsVTypes"/>
</file>