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Morecomb Hollow Pay for Operator Certification Training?</w:t>
      </w:r>
    </w:p>
    <w:p>
      <w:pPr>
        <w:keepNext/>
        <w:spacing w:after="160"/>
      </w:pPr>
      <w:r>
        <w:rPr>
          <w:color w:val="5B6B70"/>
          <w:sz w:val="20"/>
          <w:szCs w:val="20"/>
        </w:rPr>
        <w:t xml:space="preserve">Writing prompt · Grade 12 · Careers &amp; CTE</w:t>
      </w:r>
    </w:p>
    <w:p>
      <w:pPr>
        <w:spacing w:after="100" w:line="264"/>
      </w:pPr>
      <w:r>
        <w:rPr>
          <w:i/>
          <w:iCs/>
          <w:color w:val="12333F"/>
          <w:sz w:val="22"/>
          <w:szCs w:val="22"/>
        </w:rPr>
        <w:t xml:space="preserve">A grade 12 careers argument prompt on a fictional utility's tuition and exam support tied to a service commitment, with background,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background and organizer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supports a claim about a workplace training policy with relevant evidence.</w:t>
      </w:r>
    </w:p>
    <w:p>
      <w:pPr>
        <w:pStyle w:val="ListParagraph"/>
        <w:keepNext/>
        <w:keepLines/>
        <w:numPr>
          <w:ilvl w:val="0"/>
          <w:numId w:val="2"/>
        </w:numPr>
        <w:spacing w:after="60" w:line="264"/>
        <w:ind w:left="720" w:hanging="360"/>
      </w:pPr>
      <w:r>
        <w:rPr>
          <w:sz w:val="22"/>
          <w:szCs w:val="22"/>
        </w:rPr>
        <w:t xml:space="preserve">Students will develop a counterclaim fairly and answer it with reasoning rather than dismissal.</w:t>
      </w:r>
    </w:p>
    <w:p>
      <w:pPr>
        <w:pStyle w:val="ListParagraph"/>
        <w:keepLines/>
        <w:numPr>
          <w:ilvl w:val="0"/>
          <w:numId w:val="2"/>
        </w:numPr>
        <w:spacing w:after="60" w:line="264"/>
        <w:ind w:left="720" w:hanging="360"/>
      </w:pPr>
      <w:r>
        <w:rPr>
          <w:sz w:val="22"/>
          <w:szCs w:val="22"/>
        </w:rPr>
        <w:t xml:space="preserve">Students will explain how a training subsidy and a repayment clause change employee and employer decisions.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a claim, two supported reasons, a developed counterclaim, and a rebuttal addressed to a named audience, which is this standard's argument structure.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background supplies a repayment clause and a training subsidy so students analyze how each incentive changes employee and employer choices and who bears the cost.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service commitment, prorated repayment, portable credential, retention, turnover cost, counterclaim</w:t>
      </w:r>
    </w:p>
    <w:p>
      <w:pPr>
        <w:pStyle w:val="Heading2"/>
        <w:keepNext/>
        <w:keepLines/>
      </w:pPr>
      <w:r>
        <w:rPr>
          <w:sz w:val="28"/>
          <w:szCs w:val="28"/>
        </w:rPr>
        <w:t xml:space="preserve">Teacher overview</w:t>
      </w:r>
    </w:p>
    <w:p>
      <w:pPr>
        <w:spacing w:after="100" w:line="264"/>
      </w:pPr>
      <w:r>
        <w:rPr>
          <w:sz w:val="22"/>
          <w:szCs w:val="22"/>
        </w:rPr>
        <w:t xml:space="preserve">Students write an argument essay addressed to the board of a fictional water district that is deciding whether to pay for employees' operator certification training in exchange for a service commitment. The question is genuinely contested, because the same clause that protects a small district's investment also limits an employee's ability to leave for better pay. Teachers should expect one predictable weakness in first drafts: students treat the counterclaim as an opponent to insult rather than a reasonable position to answer, which is what the counterclaim criterion on the rubric measures. Model one fair restatement of the opposing view before students draft.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these students with the claim and counterclaim rows of the organizer already drafted in two versions, one for each side, and let them select and adapt one. Reduce the requirement to three paragraphs covering claim, one reason with evidence, and counterclaim with rebuttal, and supply transition phrases for the rebuttal paragraph.</w:t>
      </w:r>
    </w:p>
    <w:p>
      <w:pPr>
        <w:pStyle w:val="Heading3"/>
        <w:keepNext/>
        <w:keepLines/>
      </w:pPr>
      <w:r>
        <w:rPr>
          <w:sz w:val="24"/>
          <w:szCs w:val="24"/>
        </w:rPr>
        <w:t xml:space="preserve">Extension</w:t>
      </w:r>
    </w:p>
    <w:p>
      <w:pPr>
        <w:spacing w:after="100" w:line="264"/>
      </w:pPr>
      <w:r>
        <w:rPr>
          <w:sz w:val="22"/>
          <w:szCs w:val="22"/>
        </w:rPr>
        <w:t xml:space="preserve">Ask students to write a second, shorter piece from the opposite position, addressed to employees rather than to the fictional board, and then write a paragraph explaining which audience made the argument harder to construct and why.</w:t>
      </w:r>
    </w:p>
    <w:p>
      <w:pPr>
        <w:pStyle w:val="Heading3"/>
        <w:keepNext/>
        <w:keepLines/>
      </w:pPr>
      <w:r>
        <w:rPr>
          <w:sz w:val="24"/>
          <w:szCs w:val="24"/>
        </w:rPr>
        <w:t xml:space="preserve">ELL supports</w:t>
      </w:r>
    </w:p>
    <w:p>
      <w:pPr>
        <w:spacing w:after="100" w:line="264"/>
      </w:pPr>
      <w:r>
        <w:rPr>
          <w:sz w:val="22"/>
          <w:szCs w:val="22"/>
        </w:rPr>
        <w:t xml:space="preserve">Pre-teach commitment, prorated, waiver, credential, and turnover with short definitions and a timeline showing the three-year obligation shrinking year by year. Allow the organizer to be completed in phrases, provide sentence frames such as "Opponents of the policy argue that ___, yet the district's own record shows ___," and permit an oral rehearsal of the argument before drafting.</w:t>
      </w:r>
    </w:p>
    <w:p>
      <w:pPr>
        <w:pStyle w:val="Heading2"/>
        <w:keepNext/>
        <w:keepLines/>
      </w:pPr>
      <w:r>
        <w:rPr>
          <w:sz w:val="28"/>
          <w:szCs w:val="28"/>
        </w:rPr>
        <w:t xml:space="preserve">Extensions</w:t>
      </w:r>
    </w:p>
    <w:p>
      <w:pPr>
        <w:spacing w:after="100" w:line="264"/>
      </w:pPr>
      <w:r>
        <w:rPr>
          <w:sz w:val="22"/>
          <w:szCs w:val="22"/>
        </w:rPr>
        <w:t xml:space="preserve">Many public employers post their tuition assistance policies online, including the service commitment and repayment terms. Have students find one such policy from any public agency, compare its repayment terms with the fictional proposal debated here, and write a paragraph on which policy treats the employee more fairly.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Morecomb Hollow Pay for Operator Certification Training?</w:t>
      </w:r>
    </w:p>
    <w:p>
      <w:pPr>
        <w:keepNext/>
        <w:spacing w:after="160"/>
      </w:pPr>
      <w:r>
        <w:rPr>
          <w:color w:val="5B6B70"/>
          <w:sz w:val="20"/>
          <w:szCs w:val="20"/>
        </w:rPr>
        <w:t xml:space="preserve">Grade 12 · Careers &amp; CTE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Morecomb Hollow is a fictional water district serving about 26,000 people. It employs fourteen people in operations, and only five of them hold a state operator license. Two licensed operators plan to retire within three years, and state rules require a licensed operator on duty. The general manager has proposed that the district pay the course tuition, exam fees, and eight hours a week of paid study time for any employee working toward certification. The fictional cost is about $2,400 per employee, so supporting five employees in a year would cost about $12,000. In exchange, the employee would agree to stay three years after passing the exam, and an employee who left earlier would repay a prorated share of the cost.</w:t>
      </w:r>
    </w:p>
    <w:p>
      <w:pPr>
        <w:keepNext/>
        <w:keepLines/>
        <w:spacing w:after="120" w:line="276"/>
      </w:pPr>
      <w:r>
        <w:rPr>
          <w:sz w:val="22"/>
          <w:szCs w:val="22"/>
        </w:rPr>
        <w:t xml:space="preserve">Facts you may use in your essay:</w:t>
      </w:r>
    </w:p>
    <w:p>
      <w:pPr>
        <w:pStyle w:val="ListParagraph"/>
        <w:keepLines/>
        <w:numPr>
          <w:ilvl w:val="0"/>
          <w:numId w:val="3"/>
        </w:numPr>
        <w:spacing w:after="60" w:line="276"/>
        <w:ind w:left="720" w:hanging="360"/>
      </w:pPr>
      <w:r>
        <w:rPr>
          <w:sz w:val="22"/>
          <w:szCs w:val="22"/>
        </w:rPr>
        <w:t xml:space="preserve">Becoming an operator typically requires a high school diploma, on-the-job training, and a state license earned by exam, with licenses issued in classes tied to plant size and experience (BLS Occupational Outlook Handbook and state certification programs).</w:t>
      </w:r>
    </w:p>
    <w:p>
      <w:pPr>
        <w:pStyle w:val="ListParagraph"/>
        <w:keepLines/>
        <w:numPr>
          <w:ilvl w:val="0"/>
          <w:numId w:val="3"/>
        </w:numPr>
        <w:spacing w:after="60" w:line="276"/>
        <w:ind w:left="720" w:hanging="360"/>
      </w:pPr>
      <w:r>
        <w:rPr>
          <w:sz w:val="22"/>
          <w:szCs w:val="22"/>
        </w:rPr>
        <w:t xml:space="preserve">About 10,000 openings for water and wastewater treatment plant and system operators are projected each year from 2025 to 2035, all from replacing workers who retire or leave (BLS Occupational Outlook Handbook).</w:t>
      </w:r>
    </w:p>
    <w:p>
      <w:pPr>
        <w:pStyle w:val="ListParagraph"/>
        <w:keepLines/>
        <w:numPr>
          <w:ilvl w:val="0"/>
          <w:numId w:val="3"/>
        </w:numPr>
        <w:spacing w:after="60" w:line="276"/>
        <w:ind w:left="720" w:hanging="360"/>
      </w:pPr>
      <w:r>
        <w:rPr>
          <w:sz w:val="22"/>
          <w:szCs w:val="22"/>
        </w:rPr>
        <w:t xml:space="preserve">Operators earned a median $60,020 per year in May 2025; the lowest-paid 10 percent earned less than $39,110 and the highest-paid 10 percent more than $91,060 (BLS Occupational Outlook Handbook). These figures describe operators specifically.</w:t>
      </w:r>
    </w:p>
    <w:p>
      <w:pPr>
        <w:pStyle w:val="ListParagraph"/>
        <w:keepLines/>
        <w:numPr>
          <w:ilvl w:val="0"/>
          <w:numId w:val="3"/>
        </w:numPr>
        <w:spacing w:after="60" w:line="276"/>
        <w:ind w:left="720" w:hanging="360"/>
      </w:pPr>
      <w:r>
        <w:rPr>
          <w:sz w:val="22"/>
          <w:szCs w:val="22"/>
        </w:rPr>
        <w:t xml:space="preserve">In the fictional district, two of the last three employees it trained left within eighteen months for larger utilities that paid more.</w:t>
      </w:r>
    </w:p>
    <w:p>
      <w:pPr>
        <w:pStyle w:val="ListParagraph"/>
        <w:keepLines/>
        <w:numPr>
          <w:ilvl w:val="0"/>
          <w:numId w:val="3"/>
        </w:numPr>
        <w:spacing w:after="60" w:line="276"/>
        <w:ind w:left="720" w:hanging="360"/>
      </w:pPr>
      <w:r>
        <w:rPr>
          <w:sz w:val="22"/>
          <w:szCs w:val="22"/>
        </w:rPr>
        <w:t xml:space="preserve">A state operator license belongs to the individual who earns it, not to the employer, and it is recognized across the state.</w:t>
      </w:r>
    </w:p>
    <w:p>
      <w:pPr>
        <w:spacing w:after="40" w:before="0" w:line="120" w:lineRule="exact"/>
      </w:pPr>
    </w:p>
    <w:p>
      <w:pPr>
        <w:spacing w:after="120" w:line="276"/>
      </w:pPr>
      <w:r>
        <w:rPr>
          <w:b/>
          <w:bCs/>
          <w:sz w:val="22"/>
          <w:szCs w:val="22"/>
        </w:rPr>
        <w:t xml:space="preserve">The writing task.</w:t>
      </w:r>
      <w:r>
        <w:rPr>
          <w:sz w:val="22"/>
          <w:szCs w:val="22"/>
        </w:rPr>
        <w:t xml:space="preserve"> Write an argument essay of four to six paragraphs addressed to the Morecomb Hollow board. Take a clear position on whether the district should adopt the proposed policy, including the three-year service commitment and the repayment clause. Support your claim with at least two reasons drawn from the background above. Develop the strongest objection to your position fairly, then answer it. Close by telling the board what you want it to do. You may propose a modified version of the policy as long as you state plainly what you would change and why.</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you draft. Each row corresponds to a criterion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117"/>
        <w:gridCol w:w="4300"/>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w:t>
            </w:r>
          </w:p>
        </w:tc>
        <w:tc>
          <w:tcPr>
            <w:tcW w:type="dxa" w:w="31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43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117"/>
            <w:tcMar>
              <w:top w:type="dxa" w:w="70"/>
              <w:left w:type="dxa" w:w="100"/>
              <w:bottom w:type="dxa" w:w="70"/>
              <w:right w:type="dxa" w:w="100"/>
            </w:tcMar>
            <w:vAlign w:val="top"/>
          </w:tcPr>
          <w:p>
            <w:pPr>
              <w:spacing w:after="0" w:line="252"/>
              <w:jc w:val="left"/>
            </w:pPr>
            <w:r>
              <w:rPr>
                <w:sz w:val="22"/>
                <w:szCs w:val="22"/>
              </w:rPr>
              <w:t xml:space="preserve">One sentence stating whether the board should adopt the policy, and any change you would make to it</w:t>
            </w:r>
          </w:p>
        </w:tc>
        <w:tc>
          <w:tcPr>
            <w:tcW w:type="dxa" w:w="4300"/>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117"/>
            <w:tcMar>
              <w:top w:type="dxa" w:w="70"/>
              <w:left w:type="dxa" w:w="100"/>
              <w:bottom w:type="dxa" w:w="70"/>
              <w:right w:type="dxa" w:w="100"/>
            </w:tcMar>
            <w:vAlign w:val="top"/>
          </w:tcPr>
          <w:p>
            <w:pPr>
              <w:spacing w:after="0" w:line="252"/>
              <w:jc w:val="left"/>
            </w:pPr>
            <w:r>
              <w:rPr>
                <w:sz w:val="22"/>
                <w:szCs w:val="22"/>
              </w:rPr>
              <w:t xml:space="preserve">The first reason your claim is right, in one sentence</w:t>
            </w:r>
          </w:p>
        </w:tc>
        <w:tc>
          <w:tcPr>
            <w:tcW w:type="dxa" w:w="4300"/>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117"/>
            <w:tcMar>
              <w:top w:type="dxa" w:w="70"/>
              <w:left w:type="dxa" w:w="100"/>
              <w:bottom w:type="dxa" w:w="70"/>
              <w:right w:type="dxa" w:w="100"/>
            </w:tcMar>
            <w:vAlign w:val="top"/>
          </w:tcPr>
          <w:p>
            <w:pPr>
              <w:spacing w:after="0" w:line="252"/>
              <w:jc w:val="left"/>
            </w:pPr>
            <w:r>
              <w:rPr>
                <w:sz w:val="22"/>
                <w:szCs w:val="22"/>
              </w:rPr>
              <w:t xml:space="preserve">The specific fact or fictional district detail that supports reason 1, named exactly</w:t>
            </w:r>
          </w:p>
        </w:tc>
        <w:tc>
          <w:tcPr>
            <w:tcW w:type="dxa" w:w="4300"/>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117"/>
            <w:tcMar>
              <w:top w:type="dxa" w:w="70"/>
              <w:left w:type="dxa" w:w="100"/>
              <w:bottom w:type="dxa" w:w="70"/>
              <w:right w:type="dxa" w:w="100"/>
            </w:tcMar>
            <w:vAlign w:val="top"/>
          </w:tcPr>
          <w:p>
            <w:pPr>
              <w:spacing w:after="0" w:line="252"/>
              <w:jc w:val="left"/>
            </w:pPr>
            <w:r>
              <w:rPr>
                <w:sz w:val="22"/>
                <w:szCs w:val="22"/>
              </w:rPr>
              <w:t xml:space="preserve">The second reason your claim is right, in one sentence</w:t>
            </w:r>
          </w:p>
        </w:tc>
        <w:tc>
          <w:tcPr>
            <w:tcW w:type="dxa" w:w="4300"/>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117"/>
            <w:tcMar>
              <w:top w:type="dxa" w:w="70"/>
              <w:left w:type="dxa" w:w="100"/>
              <w:bottom w:type="dxa" w:w="70"/>
              <w:right w:type="dxa" w:w="100"/>
            </w:tcMar>
            <w:vAlign w:val="top"/>
          </w:tcPr>
          <w:p>
            <w:pPr>
              <w:spacing w:after="0" w:line="252"/>
              <w:jc w:val="left"/>
            </w:pPr>
            <w:r>
              <w:rPr>
                <w:sz w:val="22"/>
                <w:szCs w:val="22"/>
              </w:rPr>
              <w:t xml:space="preserve">The specific fact or fictional district detail that supports reason 2, named exactly</w:t>
            </w:r>
          </w:p>
        </w:tc>
        <w:tc>
          <w:tcPr>
            <w:tcW w:type="dxa" w:w="4300"/>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117"/>
            <w:tcMar>
              <w:top w:type="dxa" w:w="70"/>
              <w:left w:type="dxa" w:w="100"/>
              <w:bottom w:type="dxa" w:w="70"/>
              <w:right w:type="dxa" w:w="100"/>
            </w:tcMar>
            <w:vAlign w:val="top"/>
          </w:tcPr>
          <w:p>
            <w:pPr>
              <w:spacing w:after="0" w:line="252"/>
              <w:jc w:val="left"/>
            </w:pPr>
            <w:r>
              <w:rPr>
                <w:sz w:val="22"/>
                <w:szCs w:val="22"/>
              </w:rPr>
              <w:t xml:space="preserve">The strongest argument against your position, stated as its holder would state it</w:t>
            </w:r>
          </w:p>
        </w:tc>
        <w:tc>
          <w:tcPr>
            <w:tcW w:type="dxa" w:w="4300"/>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117"/>
            <w:tcMar>
              <w:top w:type="dxa" w:w="70"/>
              <w:left w:type="dxa" w:w="100"/>
              <w:bottom w:type="dxa" w:w="70"/>
              <w:right w:type="dxa" w:w="100"/>
            </w:tcMar>
            <w:vAlign w:val="top"/>
          </w:tcPr>
          <w:p>
            <w:pPr>
              <w:spacing w:after="0" w:line="252"/>
              <w:jc w:val="left"/>
            </w:pPr>
            <w:r>
              <w:rPr>
                <w:sz w:val="22"/>
                <w:szCs w:val="22"/>
              </w:rPr>
              <w:t xml:space="preserve">Why that argument does not defeat your claim, with evidence</w:t>
            </w:r>
          </w:p>
        </w:tc>
        <w:tc>
          <w:tcPr>
            <w:tcW w:type="dxa" w:w="4300"/>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Call to action</w:t>
            </w:r>
          </w:p>
        </w:tc>
        <w:tc>
          <w:tcPr>
            <w:tcW w:type="dxa" w:w="3117"/>
            <w:tcMar>
              <w:top w:type="dxa" w:w="70"/>
              <w:left w:type="dxa" w:w="100"/>
              <w:bottom w:type="dxa" w:w="70"/>
              <w:right w:type="dxa" w:w="100"/>
            </w:tcMar>
            <w:vAlign w:val="top"/>
          </w:tcPr>
          <w:p>
            <w:pPr>
              <w:spacing w:after="0" w:line="252"/>
              <w:jc w:val="left"/>
            </w:pPr>
            <w:r>
              <w:rPr>
                <w:sz w:val="22"/>
                <w:szCs w:val="22"/>
              </w:rPr>
              <w:t xml:space="preserve">What you are asking the board to do at its next meeting</w:t>
            </w:r>
          </w:p>
        </w:tc>
        <w:tc>
          <w:tcPr>
            <w:tcW w:type="dxa" w:w="430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Morecomb Hollow Pay for Operator Certification Training?</w:t>
      </w:r>
    </w:p>
    <w:p>
      <w:pPr>
        <w:keepNext/>
        <w:spacing w:after="160"/>
      </w:pPr>
      <w:r>
        <w:rPr>
          <w:color w:val="5B6B70"/>
          <w:sz w:val="20"/>
          <w:szCs w:val="20"/>
        </w:rPr>
        <w:t xml:space="preserve">Writing prompt · Grade 12 · Careers &amp; CTE</w:t>
      </w:r>
    </w:p>
    <w:p>
      <w:pPr>
        <w:pStyle w:val="Heading3"/>
        <w:keepNext/>
        <w:keepLines/>
      </w:pPr>
      <w:r>
        <w:rPr>
          <w:sz w:val="24"/>
          <w:szCs w:val="24"/>
        </w:rPr>
        <w:t xml:space="preserve">Exemplar response</w:t>
      </w:r>
    </w:p>
    <w:p>
      <w:pPr>
        <w:spacing w:after="100" w:line="264"/>
      </w:pPr>
      <w:r>
        <w:rPr>
          <w:sz w:val="22"/>
          <w:szCs w:val="22"/>
        </w:rPr>
        <w:t xml:space="preserve">Members of the Morecomb Hollow board, the district should adopt the certification support policy, with one change: the repayment obligation, which the proposal already prorates, should be waived if the district eliminates the employee's position. With that change, the policy protects the district without making the credential a trap.</w:t>
      </w:r>
    </w:p>
    <w:p>
      <w:pPr>
        <w:spacing w:after="100" w:line="264"/>
      </w:pPr>
      <w:r>
        <w:rPr>
          <w:sz w:val="22"/>
          <w:szCs w:val="22"/>
        </w:rPr>
        <w:t xml:space="preserve">The first reason is that the district cannot meet its staffing obligation any other way. Only five of fourteen operations employees hold a license, and two licensed operators plan to retire within three years, while state rules require a licensed operator on duty. Hiring licensed operators from outside would mean competing in a national market where about 10,000 openings are projected each year, all from replacing workers who leave. The district has already lost that competition twice, since two of the last three employees it trained left within eighteen months for larger utilities. Training current employees is not the cheapest option available to the board, but it is the only one that does not depend on outbidding those utilities.</w:t>
      </w:r>
    </w:p>
    <w:p>
      <w:pPr>
        <w:spacing w:after="100" w:line="264"/>
      </w:pPr>
      <w:r>
        <w:rPr>
          <w:sz w:val="22"/>
          <w:szCs w:val="22"/>
        </w:rPr>
        <w:t xml:space="preserve">The second reason is that the cost is small relative to what it buys. Supporting five employees costs about $12,000 in the fictional district's estimate. The employees gain a credential that raises their earning power across the whole state, in an occupation where pay ranges from under $39,110 for the lowest-paid tenth to above $91,060 for the highest-paid tenth. Few investments a small district can make return that much to both sides.</w:t>
      </w:r>
    </w:p>
    <w:p>
      <w:pPr>
        <w:spacing w:after="100" w:line="264"/>
      </w:pPr>
      <w:r>
        <w:rPr>
          <w:sz w:val="22"/>
          <w:szCs w:val="22"/>
        </w:rPr>
        <w:t xml:space="preserve">The strongest objection deserves a fair hearing. A license belongs to the person who earns it, not to the employer, and its value comes partly from the freedom to carry it elsewhere. A repayment clause weakens that freedom. An employee who receives a better offer eighteen months in would face a bill for leaving, and workers at the lower end of the operator pay range are least able to absorb one. On that view, a service commitment converts a public investment in a person into a private claim on that person's future.</w:t>
      </w:r>
    </w:p>
    <w:p>
      <w:pPr>
        <w:spacing w:after="100" w:line="264"/>
      </w:pPr>
      <w:r>
        <w:rPr>
          <w:sz w:val="22"/>
          <w:szCs w:val="22"/>
        </w:rPr>
        <w:t xml:space="preserve">That objection is serious, and it is the reason for the waiver proposed above rather than a reason to reject the policy. A prorated obligation that falls as service accrues, and disappears if the district eliminates the position, keeps the employee's exit affordable while still discouraging someone from taking the training and leaving immediately. The alternative the objection implies, which is paying for training with no commitment at all, asks ratepayers in a district of 26,000 to fund recruitment for larger utilities. A graduated obligation divides the risk instead of assigning all of it to one side.</w:t>
      </w:r>
    </w:p>
    <w:p>
      <w:pPr>
        <w:spacing w:after="100" w:line="264"/>
      </w:pPr>
      <w:r>
        <w:rPr>
          <w:sz w:val="22"/>
          <w:szCs w:val="22"/>
        </w:rPr>
        <w:t xml:space="preserve">I ask the board to adopt the general manager's proposal at its next meeting with the position-elimination waiver written into the policy, and to report after two years on how many employees earned licenses and how many stayed.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pStyle w:val="Heading3"/>
        <w:keepNext/>
        <w:keepLines/>
      </w:pPr>
      <w:r>
        <w:rPr>
          <w:sz w:val="24"/>
          <w:szCs w:val="24"/>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4261"/>
        <w:gridCol w:w="2753"/>
        <w:gridCol w:w="3182"/>
        <w:gridCol w:w="197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42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27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19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4261"/>
            <w:tcMar>
              <w:top w:type="dxa" w:w="70"/>
              <w:left w:type="dxa" w:w="100"/>
              <w:bottom w:type="dxa" w:w="70"/>
              <w:right w:type="dxa" w:w="100"/>
            </w:tcMar>
            <w:vAlign w:val="top"/>
          </w:tcPr>
          <w:p>
            <w:pPr>
              <w:keepNext/>
              <w:spacing w:after="0" w:line="252"/>
              <w:jc w:val="left"/>
            </w:pPr>
            <w:r>
              <w:rPr>
                <w:sz w:val="20"/>
                <w:szCs w:val="20"/>
              </w:rPr>
              <w:t xml:space="preserve">States a precise position on the policy, including any proposed modification, and holds it throughout</w:t>
            </w:r>
          </w:p>
        </w:tc>
        <w:tc>
          <w:tcPr>
            <w:tcW w:type="dxa" w:w="2753"/>
            <w:tcMar>
              <w:top w:type="dxa" w:w="70"/>
              <w:left w:type="dxa" w:w="100"/>
              <w:bottom w:type="dxa" w:w="70"/>
              <w:right w:type="dxa" w:w="100"/>
            </w:tcMar>
            <w:vAlign w:val="top"/>
          </w:tcPr>
          <w:p>
            <w:pPr>
              <w:keepNext/>
              <w:spacing w:after="0" w:line="252"/>
              <w:jc w:val="left"/>
            </w:pPr>
            <w:r>
              <w:rPr>
                <w:sz w:val="20"/>
                <w:szCs w:val="20"/>
              </w:rPr>
              <w:t xml:space="preserve">States a clear position and maintains it</w:t>
            </w:r>
          </w:p>
        </w:tc>
        <w:tc>
          <w:tcPr>
            <w:tcW w:type="dxa" w:w="3182"/>
            <w:tcMar>
              <w:top w:type="dxa" w:w="70"/>
              <w:left w:type="dxa" w:w="100"/>
              <w:bottom w:type="dxa" w:w="70"/>
              <w:right w:type="dxa" w:w="100"/>
            </w:tcMar>
            <w:vAlign w:val="top"/>
          </w:tcPr>
          <w:p>
            <w:pPr>
              <w:keepNext/>
              <w:spacing w:after="0" w:line="252"/>
              <w:jc w:val="left"/>
            </w:pPr>
            <w:r>
              <w:rPr>
                <w:sz w:val="20"/>
                <w:szCs w:val="20"/>
              </w:rPr>
              <w:t xml:space="preserve">States a position that shifts or stays vague about the policy itself</w:t>
            </w:r>
          </w:p>
        </w:tc>
        <w:tc>
          <w:tcPr>
            <w:tcW w:type="dxa" w:w="1976"/>
            <w:tcMar>
              <w:top w:type="dxa" w:w="70"/>
              <w:left w:type="dxa" w:w="100"/>
              <w:bottom w:type="dxa" w:w="70"/>
              <w:right w:type="dxa" w:w="100"/>
            </w:tcMar>
            <w:vAlign w:val="top"/>
          </w:tcPr>
          <w:p>
            <w:pPr>
              <w:keepNext/>
              <w:spacing w:after="0" w:line="252"/>
              <w:jc w:val="left"/>
            </w:pPr>
            <w:r>
              <w:rPr>
                <w:sz w:val="20"/>
                <w:szCs w:val="20"/>
              </w:rPr>
              <w:t xml:space="preserve">No identifiable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4261"/>
            <w:tcMar>
              <w:top w:type="dxa" w:w="70"/>
              <w:left w:type="dxa" w:w="100"/>
              <w:bottom w:type="dxa" w:w="70"/>
              <w:right w:type="dxa" w:w="100"/>
            </w:tcMar>
            <w:vAlign w:val="top"/>
          </w:tcPr>
          <w:p>
            <w:pPr>
              <w:keepNext/>
              <w:spacing w:after="0" w:line="252"/>
              <w:jc w:val="left"/>
            </w:pPr>
            <w:r>
              <w:rPr>
                <w:sz w:val="20"/>
                <w:szCs w:val="20"/>
              </w:rPr>
              <w:t xml:space="preserve">Two or more reasons, each supported by a named fact or district detail, with the reasoning from evidence to claim made explicit</w:t>
            </w:r>
          </w:p>
        </w:tc>
        <w:tc>
          <w:tcPr>
            <w:tcW w:type="dxa" w:w="2753"/>
            <w:tcMar>
              <w:top w:type="dxa" w:w="70"/>
              <w:left w:type="dxa" w:w="100"/>
              <w:bottom w:type="dxa" w:w="70"/>
              <w:right w:type="dxa" w:w="100"/>
            </w:tcMar>
            <w:vAlign w:val="top"/>
          </w:tcPr>
          <w:p>
            <w:pPr>
              <w:keepNext/>
              <w:spacing w:after="0" w:line="252"/>
              <w:jc w:val="left"/>
            </w:pPr>
            <w:r>
              <w:rPr>
                <w:sz w:val="20"/>
                <w:szCs w:val="20"/>
              </w:rPr>
              <w:t xml:space="preserve">Two reasons, each supported by relevant evidence</w:t>
            </w:r>
          </w:p>
        </w:tc>
        <w:tc>
          <w:tcPr>
            <w:tcW w:type="dxa" w:w="3182"/>
            <w:tcMar>
              <w:top w:type="dxa" w:w="70"/>
              <w:left w:type="dxa" w:w="100"/>
              <w:bottom w:type="dxa" w:w="70"/>
              <w:right w:type="dxa" w:w="100"/>
            </w:tcMar>
            <w:vAlign w:val="top"/>
          </w:tcPr>
          <w:p>
            <w:pPr>
              <w:keepNext/>
              <w:spacing w:after="0" w:line="252"/>
              <w:jc w:val="left"/>
            </w:pPr>
            <w:r>
              <w:rPr>
                <w:sz w:val="20"/>
                <w:szCs w:val="20"/>
              </w:rPr>
              <w:t xml:space="preserve">One supported reason, or evidence named without explanation</w:t>
            </w:r>
          </w:p>
        </w:tc>
        <w:tc>
          <w:tcPr>
            <w:tcW w:type="dxa" w:w="1976"/>
            <w:tcMar>
              <w:top w:type="dxa" w:w="70"/>
              <w:left w:type="dxa" w:w="100"/>
              <w:bottom w:type="dxa" w:w="70"/>
              <w:right w:type="dxa" w:w="100"/>
            </w:tcMar>
            <w:vAlign w:val="top"/>
          </w:tcPr>
          <w:p>
            <w:pPr>
              <w:keepNext/>
              <w:spacing w:after="0" w:line="252"/>
              <w:jc w:val="left"/>
            </w:pPr>
            <w:r>
              <w:rPr>
                <w:sz w:val="20"/>
                <w:szCs w:val="20"/>
              </w:rPr>
              <w:t xml:space="preserve">Assertions without evidence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4261"/>
            <w:tcMar>
              <w:top w:type="dxa" w:w="70"/>
              <w:left w:type="dxa" w:w="100"/>
              <w:bottom w:type="dxa" w:w="70"/>
              <w:right w:type="dxa" w:w="100"/>
            </w:tcMar>
            <w:vAlign w:val="top"/>
          </w:tcPr>
          <w:p>
            <w:pPr>
              <w:keepNext/>
              <w:spacing w:after="0" w:line="252"/>
              <w:jc w:val="left"/>
            </w:pPr>
            <w:r>
              <w:rPr>
                <w:sz w:val="20"/>
                <w:szCs w:val="20"/>
              </w:rPr>
              <w:t xml:space="preserve">Restates the opposing view as its holder would, then answers it with evidence and concedes what is true in it</w:t>
            </w:r>
          </w:p>
        </w:tc>
        <w:tc>
          <w:tcPr>
            <w:tcW w:type="dxa" w:w="2753"/>
            <w:tcMar>
              <w:top w:type="dxa" w:w="70"/>
              <w:left w:type="dxa" w:w="100"/>
              <w:bottom w:type="dxa" w:w="70"/>
              <w:right w:type="dxa" w:w="100"/>
            </w:tcMar>
            <w:vAlign w:val="top"/>
          </w:tcPr>
          <w:p>
            <w:pPr>
              <w:keepNext/>
              <w:spacing w:after="0" w:line="252"/>
              <w:jc w:val="left"/>
            </w:pPr>
            <w:r>
              <w:rPr>
                <w:sz w:val="20"/>
                <w:szCs w:val="20"/>
              </w:rPr>
              <w:t xml:space="preserve">States a counterclaim fairly and answers it</w:t>
            </w:r>
          </w:p>
        </w:tc>
        <w:tc>
          <w:tcPr>
            <w:tcW w:type="dxa" w:w="3182"/>
            <w:tcMar>
              <w:top w:type="dxa" w:w="70"/>
              <w:left w:type="dxa" w:w="100"/>
              <w:bottom w:type="dxa" w:w="70"/>
              <w:right w:type="dxa" w:w="100"/>
            </w:tcMar>
            <w:vAlign w:val="top"/>
          </w:tcPr>
          <w:p>
            <w:pPr>
              <w:keepNext/>
              <w:spacing w:after="0" w:line="252"/>
              <w:jc w:val="left"/>
            </w:pPr>
            <w:r>
              <w:rPr>
                <w:sz w:val="20"/>
                <w:szCs w:val="20"/>
              </w:rPr>
              <w:t xml:space="preserve">Mentions an opposing view and dismisses it</w:t>
            </w:r>
          </w:p>
        </w:tc>
        <w:tc>
          <w:tcPr>
            <w:tcW w:type="dxa" w:w="1976"/>
            <w:tcMar>
              <w:top w:type="dxa" w:w="70"/>
              <w:left w:type="dxa" w:w="100"/>
              <w:bottom w:type="dxa" w:w="70"/>
              <w:right w:type="dxa" w:w="100"/>
            </w:tcMar>
            <w:vAlign w:val="top"/>
          </w:tcPr>
          <w:p>
            <w:pPr>
              <w:keepNext/>
              <w:spacing w:after="0" w:line="252"/>
              <w:jc w:val="left"/>
            </w:pPr>
            <w:r>
              <w:rPr>
                <w:sz w:val="20"/>
                <w:szCs w:val="20"/>
              </w:rPr>
              <w:t xml:space="preserve">No counterclaim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Audience and purpose</w:t>
            </w:r>
          </w:p>
        </w:tc>
        <w:tc>
          <w:tcPr>
            <w:tcW w:type="dxa" w:w="4261"/>
            <w:tcMar>
              <w:top w:type="dxa" w:w="70"/>
              <w:left w:type="dxa" w:w="100"/>
              <w:bottom w:type="dxa" w:w="70"/>
              <w:right w:type="dxa" w:w="100"/>
            </w:tcMar>
            <w:vAlign w:val="top"/>
          </w:tcPr>
          <w:p>
            <w:pPr>
              <w:keepNext/>
              <w:spacing w:after="0" w:line="252"/>
              <w:jc w:val="left"/>
            </w:pPr>
            <w:r>
              <w:rPr>
                <w:sz w:val="20"/>
                <w:szCs w:val="20"/>
              </w:rPr>
              <w:t xml:space="preserve">Addresses the board directly, closes with a specific action, and uses language suited to a public body</w:t>
            </w:r>
          </w:p>
        </w:tc>
        <w:tc>
          <w:tcPr>
            <w:tcW w:type="dxa" w:w="2753"/>
            <w:tcMar>
              <w:top w:type="dxa" w:w="70"/>
              <w:left w:type="dxa" w:w="100"/>
              <w:bottom w:type="dxa" w:w="70"/>
              <w:right w:type="dxa" w:w="100"/>
            </w:tcMar>
            <w:vAlign w:val="top"/>
          </w:tcPr>
          <w:p>
            <w:pPr>
              <w:keepNext/>
              <w:spacing w:after="0" w:line="252"/>
              <w:jc w:val="left"/>
            </w:pPr>
            <w:r>
              <w:rPr>
                <w:sz w:val="20"/>
                <w:szCs w:val="20"/>
              </w:rPr>
              <w:t xml:space="preserve">Addresses the board with a clear closing request</w:t>
            </w:r>
          </w:p>
        </w:tc>
        <w:tc>
          <w:tcPr>
            <w:tcW w:type="dxa" w:w="3182"/>
            <w:tcMar>
              <w:top w:type="dxa" w:w="70"/>
              <w:left w:type="dxa" w:w="100"/>
              <w:bottom w:type="dxa" w:w="70"/>
              <w:right w:type="dxa" w:w="100"/>
            </w:tcMar>
            <w:vAlign w:val="top"/>
          </w:tcPr>
          <w:p>
            <w:pPr>
              <w:keepNext/>
              <w:spacing w:after="0" w:line="252"/>
              <w:jc w:val="left"/>
            </w:pPr>
            <w:r>
              <w:rPr>
                <w:sz w:val="20"/>
                <w:szCs w:val="20"/>
              </w:rPr>
              <w:t xml:space="preserve">Written to no particular audience, or closes without a request</w:t>
            </w:r>
          </w:p>
        </w:tc>
        <w:tc>
          <w:tcPr>
            <w:tcW w:type="dxa" w:w="1976"/>
            <w:tcMar>
              <w:top w:type="dxa" w:w="70"/>
              <w:left w:type="dxa" w:w="100"/>
              <w:bottom w:type="dxa" w:w="70"/>
              <w:right w:type="dxa" w:w="100"/>
            </w:tcMar>
            <w:vAlign w:val="top"/>
          </w:tcPr>
          <w:p>
            <w:pPr>
              <w:keepNext/>
              <w:spacing w:after="0" w:line="252"/>
              <w:jc w:val="left"/>
            </w:pPr>
            <w:r>
              <w:rPr>
                <w:sz w:val="20"/>
                <w:szCs w:val="20"/>
              </w:rPr>
              <w:t xml:space="preserve">Ignores the audience and the task</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4261"/>
            <w:tcMar>
              <w:top w:type="dxa" w:w="70"/>
              <w:left w:type="dxa" w:w="100"/>
              <w:bottom w:type="dxa" w:w="70"/>
              <w:right w:type="dxa" w:w="100"/>
            </w:tcMar>
            <w:vAlign w:val="top"/>
          </w:tcPr>
          <w:p>
            <w:pPr>
              <w:spacing w:after="0" w:line="252"/>
              <w:jc w:val="left"/>
            </w:pPr>
            <w:r>
              <w:rPr>
                <w:sz w:val="20"/>
                <w:szCs w:val="20"/>
              </w:rPr>
              <w:t xml:space="preserve">Paragraphs build in a deliberate order with clear transitions, and errors are rare</w:t>
            </w:r>
          </w:p>
        </w:tc>
        <w:tc>
          <w:tcPr>
            <w:tcW w:type="dxa" w:w="2753"/>
            <w:tcMar>
              <w:top w:type="dxa" w:w="70"/>
              <w:left w:type="dxa" w:w="100"/>
              <w:bottom w:type="dxa" w:w="70"/>
              <w:right w:type="dxa" w:w="100"/>
            </w:tcMar>
            <w:vAlign w:val="top"/>
          </w:tcPr>
          <w:p>
            <w:pPr>
              <w:spacing w:after="0" w:line="252"/>
              <w:jc w:val="left"/>
            </w:pPr>
            <w:r>
              <w:rPr>
                <w:sz w:val="20"/>
                <w:szCs w:val="20"/>
              </w:rPr>
              <w:t xml:space="preserve">Clear organization with few errors that do not impede meaning</w:t>
            </w:r>
          </w:p>
        </w:tc>
        <w:tc>
          <w:tcPr>
            <w:tcW w:type="dxa" w:w="3182"/>
            <w:tcMar>
              <w:top w:type="dxa" w:w="70"/>
              <w:left w:type="dxa" w:w="100"/>
              <w:bottom w:type="dxa" w:w="70"/>
              <w:right w:type="dxa" w:w="100"/>
            </w:tcMar>
            <w:vAlign w:val="top"/>
          </w:tcPr>
          <w:p>
            <w:pPr>
              <w:spacing w:after="0" w:line="252"/>
              <w:jc w:val="left"/>
            </w:pPr>
            <w:r>
              <w:rPr>
                <w:sz w:val="20"/>
                <w:szCs w:val="20"/>
              </w:rPr>
              <w:t xml:space="preserve">Organization is loose, or errors distract the reader</w:t>
            </w:r>
          </w:p>
        </w:tc>
        <w:tc>
          <w:tcPr>
            <w:tcW w:type="dxa" w:w="1976"/>
            <w:tcMar>
              <w:top w:type="dxa" w:w="70"/>
              <w:left w:type="dxa" w:w="100"/>
              <w:bottom w:type="dxa" w:w="70"/>
              <w:right w:type="dxa" w:w="100"/>
            </w:tcMar>
            <w:vAlign w:val="top"/>
          </w:tcPr>
          <w:p>
            <w:pPr>
              <w:spacing w:after="0" w:line="252"/>
              <w:jc w:val="left"/>
            </w:pPr>
            <w:r>
              <w:rPr>
                <w:sz w:val="20"/>
                <w:szCs w:val="20"/>
              </w:rPr>
              <w:t xml:space="preserve">Organization or errors make the argument hard to follow</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Morecomb Hollow Pay for Operator Certification Training?</dc:title>
  <dc:subject>Writing prompt · Grade 12 · Careers &amp; CTE</dc:subject>
  <dc:creator>Water for Schools</dc:creator>
  <cp:keywords>Writing prompt, Grade 12, Careers &amp; CTE</cp:keywords>
  <dc:description>A grade 12 careers argument prompt on a fictional utility's tuition and exam support tied to a service commitment, with background, organizer, exemplar, and rubric.</dc:description>
  <cp:lastModifiedBy>Water for Schools</cp:lastModifiedBy>
  <cp:revision>1</cp:revision>
  <dcterms:created xsi:type="dcterms:W3CDTF">2026-10-19T16:28:52.022Z</dcterms:created>
  <dcterms:modified xsi:type="dcterms:W3CDTF">2026-10-19T16:28:52.022Z</dcterms:modified>
</cp:coreProperties>
</file>

<file path=docProps/custom.xml><?xml version="1.0" encoding="utf-8"?>
<Properties xmlns="http://schemas.openxmlformats.org/officeDocument/2006/custom-properties" xmlns:vt="http://schemas.openxmlformats.org/officeDocument/2006/docPropsVTypes"/>
</file>