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Trenholme Water Authority: Should Operator Trainees Need a Degree?</w:t>
      </w:r>
    </w:p>
    <w:p>
      <w:pPr>
        <w:keepNext/>
        <w:spacing w:after="160"/>
      </w:pPr>
      <w:r>
        <w:rPr>
          <w:color w:val="5B6B70"/>
          <w:sz w:val="20"/>
          <w:szCs w:val="20"/>
        </w:rPr>
        <w:t xml:space="preserve">Debate kit · Grade 12 · Careers &amp; CTE</w:t>
      </w:r>
    </w:p>
    <w:p>
      <w:pPr>
        <w:spacing w:after="100" w:line="264"/>
      </w:pPr>
      <w:r>
        <w:rPr>
          <w:i/>
          <w:iCs/>
          <w:color w:val="12333F"/>
          <w:sz w:val="22"/>
          <w:szCs w:val="22"/>
        </w:rPr>
        <w:t xml:space="preserve">A grade 12 careers debate kit on whether a fictional utility should require an associate degree for operator trainees, with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Index cards for rebuttal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argue both sides of a hiring-standard question using workforce and licensing evidence.</w:t>
      </w:r>
    </w:p>
    <w:p>
      <w:pPr>
        <w:pStyle w:val="ListParagraph"/>
        <w:keepNext/>
        <w:keepLines/>
        <w:numPr>
          <w:ilvl w:val="0"/>
          <w:numId w:val="2"/>
        </w:numPr>
        <w:spacing w:after="60" w:line="264"/>
        <w:ind w:left="720" w:hanging="360"/>
      </w:pPr>
      <w:r>
        <w:rPr>
          <w:sz w:val="22"/>
          <w:szCs w:val="22"/>
        </w:rPr>
        <w:t xml:space="preserve">Students will distinguish what a state license requires from what an employer chooses to require.</w:t>
      </w:r>
    </w:p>
    <w:p>
      <w:pPr>
        <w:pStyle w:val="ListParagraph"/>
        <w:keepLines/>
        <w:numPr>
          <w:ilvl w:val="0"/>
          <w:numId w:val="2"/>
        </w:numPr>
        <w:spacing w:after="60" w:line="264"/>
        <w:ind w:left="720" w:hanging="360"/>
      </w:pPr>
      <w:r>
        <w:rPr>
          <w:sz w:val="22"/>
          <w:szCs w:val="22"/>
        </w:rPr>
        <w:t xml:space="preserve">Students will evaluate how a credential requirement shifts costs among applicants, employers, and ratepayers.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Both evidence sections trace how a degree requirement, tuition support, and starting pay act as incentives whose costs fall differently on applicants, ratepayers, and the authority.</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kit runs a structured board workshop with assigned roles, timed constructive and rebuttal turns, and a written recommendation, which is the deliberative process this indicator names.</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operator in training, articulation agreement, credential inflation, scope of practice</w:t>
      </w:r>
    </w:p>
    <w:p>
      <w:pPr>
        <w:pStyle w:val="Heading2"/>
        <w:keepNext/>
        <w:keepLines/>
      </w:pPr>
      <w:r>
        <w:rPr>
          <w:sz w:val="28"/>
          <w:szCs w:val="28"/>
        </w:rPr>
        <w:t xml:space="preserve">Teacher overview</w:t>
      </w:r>
    </w:p>
    <w:p>
      <w:pPr>
        <w:spacing w:after="100" w:line="264"/>
      </w:pPr>
      <w:r>
        <w:rPr>
          <w:sz w:val="22"/>
          <w:szCs w:val="22"/>
        </w:rPr>
        <w:t xml:space="preserve">This two-session debate runs as a simulated personnel committee workshop at a fictional utility, with a four-person affirmative team, a four-person negative team, and the remaining students seated as board members who question both sides and vote at the end. The resolution is genuinely contested in the water sector, because state licensing rules and employer hiring standards are two different things, and a utility may lawfully require more than the state does. Teachers should expect one persistent confusion: students often assume that because a job is technical, a degree must already be required, when the credential that actually authorizes the work is a state license earned by exam. Establish that distinction in the first ten minutes, since every argument on both sides depends on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single side of the evidence file with the sources highlighted and a speaking outline that supplies the first sentence of each turn. Assign them the board member role for the first round so that they write questions before they speak, then rotate them onto a team in the second session with a partner who has already argued that side.</w:t>
      </w:r>
    </w:p>
    <w:p>
      <w:pPr>
        <w:pStyle w:val="Heading3"/>
        <w:keepNext/>
        <w:keepLines/>
      </w:pPr>
      <w:r>
        <w:rPr>
          <w:sz w:val="24"/>
          <w:szCs w:val="24"/>
        </w:rPr>
        <w:t xml:space="preserve">Extension</w:t>
      </w:r>
    </w:p>
    <w:p>
      <w:pPr>
        <w:spacing w:after="100" w:line="264"/>
      </w:pPr>
      <w:r>
        <w:rPr>
          <w:sz w:val="22"/>
          <w:szCs w:val="22"/>
        </w:rPr>
        <w:t xml:space="preserve">Ask the strongest speakers to prepare a third position for the second session, proposing a hiring standard that neither team offered, such as a degree requirement that applies only to promotion beyond a stated license class. They must answer the two strongest points from each side in writing before presenting.</w:t>
      </w:r>
    </w:p>
    <w:p>
      <w:pPr>
        <w:pStyle w:val="Heading3"/>
        <w:keepNext/>
        <w:keepLines/>
      </w:pPr>
      <w:r>
        <w:rPr>
          <w:sz w:val="24"/>
          <w:szCs w:val="24"/>
        </w:rPr>
        <w:t xml:space="preserve">ELL supports</w:t>
      </w:r>
    </w:p>
    <w:p>
      <w:pPr>
        <w:spacing w:after="100" w:line="264"/>
      </w:pPr>
      <w:r>
        <w:rPr>
          <w:sz w:val="22"/>
          <w:szCs w:val="22"/>
        </w:rPr>
        <w:t xml:space="preserve">Pre-teach license, credential, apprenticeship, articulation, and vacancy with short definitions and a diagram showing the three routes into an operator job that appear in the evidence file. Provide sentence frames for rebuttal, such as "The affirmative argued that ___, but the evidence file shows ___," and allow prepared notes in the student's first language for speaking turns.</w:t>
      </w:r>
    </w:p>
    <w:p>
      <w:pPr>
        <w:pStyle w:val="Heading2"/>
        <w:keepNext/>
        <w:keepLines/>
      </w:pPr>
      <w:r>
        <w:rPr>
          <w:sz w:val="28"/>
          <w:szCs w:val="28"/>
        </w:rPr>
        <w:t xml:space="preserve">Extensions</w:t>
      </w:r>
    </w:p>
    <w:p>
      <w:pPr>
        <w:spacing w:after="100" w:line="264"/>
      </w:pPr>
      <w:r>
        <w:rPr>
          <w:sz w:val="22"/>
          <w:szCs w:val="22"/>
        </w:rPr>
        <w:t xml:space="preserve">Have students find the actual entry requirements posted for two operator positions in their region, one at a large utility and one at a small system, and compare them with the fictional Trenholme standards debated here. A short written comparison shows how much hiring standards vary among employers who all answer to the same state licensing rules.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Trenholme Water Authority: Should Operator Trainees Need a Degree?</w:t>
      </w:r>
    </w:p>
    <w:p>
      <w:pPr>
        <w:keepNext/>
        <w:spacing w:after="160"/>
      </w:pPr>
      <w:r>
        <w:rPr>
          <w:color w:val="5B6B70"/>
          <w:sz w:val="20"/>
          <w:szCs w:val="20"/>
        </w:rPr>
        <w:t xml:space="preserve">Grade 12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Trenholme Water Authority should require an associate degree in water quality technology for entry into its operator-in-training program.</w:t>
      </w:r>
    </w:p>
    <w:p>
      <w:pPr>
        <w:spacing w:after="120" w:line="276"/>
      </w:pPr>
      <w:r>
        <w:rPr>
          <w:sz w:val="22"/>
          <w:szCs w:val="22"/>
        </w:rPr>
        <w:t xml:space="preserve">Trenholme is a fictional regional authority serving about 60,000 people. It runs one surface water plant and two groundwater wells. It now hires operators in training with a high school diploma, pays for their license exam, and places each trainee under a supervising operator for eighteen months. Seven of its twenty-two operating positions are vacant. The personnel committee has proposed replacing the diploma standard with an associate degree requirement. It argues that the plant's new membrane units and electronic reporting demand more preparation than on-the-job training provides.</w:t>
      </w:r>
    </w:p>
    <w:p>
      <w:pPr>
        <w:keepNext/>
        <w:keepLines/>
        <w:spacing w:after="120" w:line="276"/>
      </w:pPr>
      <w:r>
        <w:rPr>
          <w:sz w:val="22"/>
          <w:szCs w:val="22"/>
        </w:rPr>
        <w:t xml:space="preserve">Background that both sides should accept as accurate:</w:t>
      </w:r>
    </w:p>
    <w:p>
      <w:pPr>
        <w:pStyle w:val="ListParagraph"/>
        <w:keepLines/>
        <w:numPr>
          <w:ilvl w:val="0"/>
          <w:numId w:val="3"/>
        </w:numPr>
        <w:spacing w:after="60" w:line="276"/>
        <w:ind w:left="720" w:hanging="360"/>
      </w:pPr>
      <w:r>
        <w:rPr>
          <w:sz w:val="22"/>
          <w:szCs w:val="22"/>
        </w:rPr>
        <w:t xml:space="preserve">Becoming an operator typically requires a high school diploma, on-the-job training, and a state license earned by exam. Licenses are issued in classes tied to plant size and experience (source: BLS Occupational Outlook Handbook and state certification programs).</w:t>
      </w:r>
    </w:p>
    <w:p>
      <w:pPr>
        <w:pStyle w:val="ListParagraph"/>
        <w:keepLines/>
        <w:numPr>
          <w:ilvl w:val="0"/>
          <w:numId w:val="3"/>
        </w:numPr>
        <w:spacing w:after="60" w:line="276"/>
        <w:ind w:left="720" w:hanging="360"/>
      </w:pPr>
      <w:r>
        <w:rPr>
          <w:sz w:val="22"/>
          <w:szCs w:val="22"/>
        </w:rPr>
        <w:t xml:space="preserve">About 10,000 openings for water and wastewater operators are projected each year from 2025 to 2035, all from replacing workers who retire or change careers (source: BLS Occupational Outlook Handbook).</w:t>
      </w:r>
    </w:p>
    <w:p>
      <w:pPr>
        <w:pStyle w:val="ListParagraph"/>
        <w:keepLines/>
        <w:numPr>
          <w:ilvl w:val="0"/>
          <w:numId w:val="3"/>
        </w:numPr>
        <w:spacing w:after="60" w:line="276"/>
        <w:ind w:left="720" w:hanging="360"/>
      </w:pPr>
      <w:r>
        <w:rPr>
          <w:sz w:val="22"/>
          <w:szCs w:val="22"/>
        </w:rPr>
        <w:t xml:space="preserve">Roughly one-third of the water workforce is eligible to retire within the next decade. In 2016, Brookings found only about 10 percent of water workers were 24 or younger, compared with 12.5 percent of all U.S. workers (source: EPA; Brookings).</w:t>
      </w:r>
    </w:p>
    <w:p>
      <w:pPr>
        <w:pStyle w:val="ListParagraph"/>
        <w:keepLines/>
        <w:numPr>
          <w:ilvl w:val="0"/>
          <w:numId w:val="3"/>
        </w:numPr>
        <w:spacing w:after="60" w:line="276"/>
        <w:ind w:left="720" w:hanging="360"/>
      </w:pPr>
      <w:r>
        <w:rPr>
          <w:sz w:val="22"/>
          <w:szCs w:val="22"/>
        </w:rPr>
        <w:t xml:space="preserve">Operators earned a median $60,020 per year in May 2025. The lowest-paid 10 percent earned less than $39,110 and the highest-paid 10 percent more than $91,060 (source: BLS Occupational Outlook Handbook). These figures describe operators specifically, not the whole water workforce.</w:t>
      </w:r>
    </w:p>
    <w:p>
      <w:pPr>
        <w:spacing w:after="40" w:before="0" w:line="120" w:lineRule="exact"/>
      </w:pPr>
    </w:p>
    <w:p>
      <w:pPr>
        <w:keepNext/>
        <w:keepLines/>
        <w:spacing w:after="120" w:line="276"/>
      </w:pPr>
      <w:r>
        <w:rPr>
          <w:sz w:val="22"/>
          <w:szCs w:val="22"/>
        </w:rPr>
        <w:t xml:space="preserve">Role notes:</w:t>
      </w:r>
    </w:p>
    <w:p>
      <w:pPr>
        <w:pStyle w:val="ListParagraph"/>
        <w:keepNext/>
        <w:keepLines/>
        <w:numPr>
          <w:ilvl w:val="0"/>
          <w:numId w:val="4"/>
        </w:numPr>
        <w:spacing w:after="60" w:line="276"/>
        <w:ind w:left="720" w:hanging="360"/>
      </w:pPr>
      <w:r>
        <w:rPr>
          <w:b/>
          <w:bCs/>
          <w:sz w:val="22"/>
          <w:szCs w:val="22"/>
        </w:rPr>
        <w:t xml:space="preserve">Affirmative team.</w:t>
      </w:r>
      <w:r>
        <w:rPr>
          <w:sz w:val="22"/>
          <w:szCs w:val="22"/>
        </w:rPr>
        <w:t xml:space="preserve"> Two speakers argue the technical case, and two argue the personnel case. Prepare for the objection that the state does not require a degree.</w:t>
      </w:r>
    </w:p>
    <w:p>
      <w:pPr>
        <w:pStyle w:val="ListParagraph"/>
        <w:keepNext/>
        <w:keepLines/>
        <w:numPr>
          <w:ilvl w:val="0"/>
          <w:numId w:val="4"/>
        </w:numPr>
        <w:spacing w:after="60" w:line="276"/>
        <w:ind w:left="720" w:hanging="360"/>
      </w:pPr>
      <w:r>
        <w:rPr>
          <w:b/>
          <w:bCs/>
          <w:sz w:val="22"/>
          <w:szCs w:val="22"/>
        </w:rPr>
        <w:t xml:space="preserve">Negative team.</w:t>
      </w:r>
      <w:r>
        <w:rPr>
          <w:sz w:val="22"/>
          <w:szCs w:val="22"/>
        </w:rPr>
        <w:t xml:space="preserve"> Two speakers argue the access case, and two argue the staffing case. Prepare for the objection that the plant's equipment has changed since the current standard was written.</w:t>
      </w:r>
    </w:p>
    <w:p>
      <w:pPr>
        <w:pStyle w:val="ListParagraph"/>
        <w:keepNext/>
        <w:keepLines/>
        <w:numPr>
          <w:ilvl w:val="0"/>
          <w:numId w:val="4"/>
        </w:numPr>
        <w:spacing w:after="60" w:line="276"/>
        <w:ind w:left="720" w:hanging="360"/>
      </w:pPr>
      <w:r>
        <w:rPr>
          <w:b/>
          <w:bCs/>
          <w:sz w:val="22"/>
          <w:szCs w:val="22"/>
        </w:rPr>
        <w:t xml:space="preserve">Board members.</w:t>
      </w:r>
      <w:r>
        <w:rPr>
          <w:sz w:val="22"/>
          <w:szCs w:val="22"/>
        </w:rPr>
        <w:t xml:space="preserve"> Each board member writes one question for each team before the debate and votes at the end with a one-sentence written reason.</w:t>
      </w:r>
    </w:p>
    <w:p>
      <w:pPr>
        <w:pStyle w:val="ListParagraph"/>
        <w:keepLines/>
        <w:numPr>
          <w:ilvl w:val="0"/>
          <w:numId w:val="4"/>
        </w:numPr>
        <w:spacing w:after="60" w:line="276"/>
        <w:ind w:left="720" w:hanging="360"/>
      </w:pPr>
      <w:r>
        <w:rPr>
          <w:b/>
          <w:bCs/>
          <w:sz w:val="22"/>
          <w:szCs w:val="22"/>
        </w:rPr>
        <w:t xml:space="preserve">Chair.</w:t>
      </w:r>
      <w:r>
        <w:rPr>
          <w:sz w:val="22"/>
          <w:szCs w:val="22"/>
        </w:rPr>
        <w:t xml:space="preserve"> One student keeps time, calls speakers in order, and rules on relevance.</w:t>
      </w:r>
    </w:p>
    <w:p>
      <w:pPr>
        <w:spacing w:after="40" w:before="0" w:line="120" w:lineRule="exact"/>
      </w:pPr>
    </w:p>
    <w:p>
      <w:pPr>
        <w:spacing w:after="120" w:line="276"/>
      </w:pPr>
      <w:r>
        <w:rPr>
          <w:sz w:val="22"/>
          <w:szCs w:val="22"/>
        </w:rPr>
        <w:t xml:space="preserve">Run of show: In session 1, spend the first 10 minutes on the difference between a state license and an employer requirement, then give teams 12 minutes to prepare while board members write their questions. Round one takes 20 minutes, with a 4-minute affirmative constructive, a 4-minute negative constructive, 6 minutes of board questions split evenly between the teams, a 3-minute negative rebuttal, and a 3-minute affirmative rebuttal. Use the last 3 minutes for teams to note which points need stronger evidence. In session 2, give teams 10 minutes to revise, run round two in the same format (20 minutes), and allow 3 minutes for any extension speakers. In the final 12 minutes the board discusses the arguments, votes, and writes a short recommendation to the fictional Trenholme board, with each member's one-sentence reason attached.</w:t>
      </w:r>
    </w:p>
    <w:p>
      <w:pPr>
        <w:pStyle w:val="Heading2"/>
        <w:keepNext/>
        <w:keepLines/>
      </w:pPr>
      <w:r>
        <w:rPr>
          <w:sz w:val="28"/>
          <w:szCs w:val="28"/>
        </w:rPr>
        <w:t xml:space="preserve">Evidence File</w:t>
      </w:r>
    </w:p>
    <w:p>
      <w:pPr>
        <w:pStyle w:val="Heading3"/>
        <w:keepNext/>
        <w:keepLines/>
      </w:pPr>
      <w:r>
        <w:rPr>
          <w:sz w:val="24"/>
          <w:szCs w:val="24"/>
        </w:rPr>
        <w:t xml:space="preserve">Case for requiring the associate degree</w:t>
      </w:r>
    </w:p>
    <w:p>
      <w:pPr>
        <w:pStyle w:val="ListParagraph"/>
        <w:keepLines/>
        <w:numPr>
          <w:ilvl w:val="0"/>
          <w:numId w:val="5"/>
        </w:numPr>
        <w:spacing w:after="60" w:line="276"/>
        <w:ind w:left="720" w:hanging="360"/>
      </w:pPr>
      <w:r>
        <w:rPr>
          <w:sz w:val="22"/>
          <w:szCs w:val="22"/>
        </w:rPr>
        <w:t xml:space="preserve">The work now includes processes the current training was not built for. Trenholme's fictional membrane units ask operators to read pressure and flux trends, which is a different skill from following a fixed valve routine, while coursework in water chemistry and instrumentation covers that ground in a deliberate order (source: the fictional Trenholme operations superintendent's memo to the personnel committee).</w:t>
      </w:r>
    </w:p>
    <w:p>
      <w:pPr>
        <w:pStyle w:val="ListParagraph"/>
        <w:keepLines/>
        <w:numPr>
          <w:ilvl w:val="0"/>
          <w:numId w:val="5"/>
        </w:numPr>
        <w:spacing w:after="60" w:line="276"/>
        <w:ind w:left="720" w:hanging="360"/>
      </w:pPr>
      <w:r>
        <w:rPr>
          <w:sz w:val="22"/>
          <w:szCs w:val="22"/>
        </w:rPr>
        <w:t xml:space="preserve">Reporting errors carry regulatory consequences. A degree program includes structured practice in sampling protocol and report preparation, while the fictional authority now teaches both informally on shift (source: the fictional Trenholme compliance officer's testimony).</w:t>
      </w:r>
    </w:p>
    <w:p>
      <w:pPr>
        <w:pStyle w:val="ListParagraph"/>
        <w:keepLines/>
        <w:numPr>
          <w:ilvl w:val="0"/>
          <w:numId w:val="5"/>
        </w:numPr>
        <w:spacing w:after="60" w:line="276"/>
        <w:ind w:left="720" w:hanging="360"/>
      </w:pPr>
      <w:r>
        <w:rPr>
          <w:sz w:val="22"/>
          <w:szCs w:val="22"/>
        </w:rPr>
        <w:t xml:space="preserve">A degree creates a documented ladder. Community college programs in water quality technology often transfer into bachelor's programs, most commonly in environmental science and engineering, so the requirement gives new hires a visible route toward supervisory and engineering roles rather than a single job (source: state community college articulation agreements, described generally).</w:t>
      </w:r>
    </w:p>
    <w:p>
      <w:pPr>
        <w:pStyle w:val="ListParagraph"/>
        <w:keepLines/>
        <w:numPr>
          <w:ilvl w:val="0"/>
          <w:numId w:val="5"/>
        </w:numPr>
        <w:spacing w:after="60" w:line="276"/>
        <w:ind w:left="720" w:hanging="360"/>
      </w:pPr>
      <w:r>
        <w:rPr>
          <w:sz w:val="22"/>
          <w:szCs w:val="22"/>
        </w:rPr>
        <w:t xml:space="preserve">The retirement wave is a reason to build deeper preparation rather than lower the hiring standard. Roughly one-third of the water workforce is eligible to retire within the decade, and in 2016 only about 10 percent of water workers were 24 or younger. The authority argues that it should invest in preparation that lasts a career rather than fill seats quickly (source: EPA; Brookings).</w:t>
      </w:r>
    </w:p>
    <w:p>
      <w:pPr>
        <w:pStyle w:val="ListParagraph"/>
        <w:keepLines/>
        <w:numPr>
          <w:ilvl w:val="0"/>
          <w:numId w:val="5"/>
        </w:numPr>
        <w:spacing w:after="60" w:line="276"/>
        <w:ind w:left="720" w:hanging="360"/>
      </w:pPr>
      <w:r>
        <w:rPr>
          <w:sz w:val="22"/>
          <w:szCs w:val="22"/>
        </w:rPr>
        <w:t xml:space="preserve">A credential standard strengthens the case for higher entry pay. The fictional personnel director argues that a board approves a pay increase more readily when the job description names a required credential. Operator pay already ranges widely, running from under $39,110 at the 10th percentile to above $91,060 at the 90th (source: BLS Occupational Outlook Handbook, with the argument attributed to the fictional personnel director).</w:t>
      </w:r>
    </w:p>
    <w:p>
      <w:pPr>
        <w:spacing w:after="40" w:before="0" w:line="120" w:lineRule="exact"/>
      </w:pPr>
    </w:p>
    <w:p>
      <w:pPr>
        <w:pStyle w:val="Heading3"/>
        <w:keepNext/>
        <w:keepLines/>
      </w:pPr>
      <w:r>
        <w:rPr>
          <w:sz w:val="24"/>
          <w:szCs w:val="24"/>
        </w:rPr>
        <w:t xml:space="preserve">Case against requiring the associate degree</w:t>
      </w:r>
    </w:p>
    <w:p>
      <w:pPr>
        <w:pStyle w:val="ListParagraph"/>
        <w:keepLines/>
        <w:numPr>
          <w:ilvl w:val="0"/>
          <w:numId w:val="6"/>
        </w:numPr>
        <w:spacing w:after="60" w:line="276"/>
        <w:ind w:left="720" w:hanging="360"/>
      </w:pPr>
      <w:r>
        <w:rPr>
          <w:sz w:val="22"/>
          <w:szCs w:val="22"/>
        </w:rPr>
        <w:t xml:space="preserve">The state license, not a degree, is what authorizes the work. Operators typically qualify with a high school diploma, on-the-job training, and a licensing exam. An added degree requirement goes beyond the standard the state itself sets (source: BLS Occupational Outlook Handbook; state certification programs).</w:t>
      </w:r>
    </w:p>
    <w:p>
      <w:pPr>
        <w:pStyle w:val="ListParagraph"/>
        <w:keepLines/>
        <w:numPr>
          <w:ilvl w:val="0"/>
          <w:numId w:val="6"/>
        </w:numPr>
        <w:spacing w:after="60" w:line="276"/>
        <w:ind w:left="720" w:hanging="360"/>
      </w:pPr>
      <w:r>
        <w:rPr>
          <w:sz w:val="22"/>
          <w:szCs w:val="22"/>
        </w:rPr>
        <w:t xml:space="preserve">A degree requirement would make the vacancy problem worse in the near term. About 10,000 openings are projected each year nationally from 2025 to 2035, and seven of twenty-two Trenholme positions are already open. Narrowing the pool to degree holders means competing for a smaller group against employers who pay more (source: BLS Occupational Outlook Handbook; fictional Trenholme vacancy report).</w:t>
      </w:r>
    </w:p>
    <w:p>
      <w:pPr>
        <w:pStyle w:val="ListParagraph"/>
        <w:keepLines/>
        <w:numPr>
          <w:ilvl w:val="0"/>
          <w:numId w:val="6"/>
        </w:numPr>
        <w:spacing w:after="60" w:line="276"/>
        <w:ind w:left="720" w:hanging="360"/>
      </w:pPr>
      <w:r>
        <w:rPr>
          <w:sz w:val="22"/>
          <w:szCs w:val="22"/>
        </w:rPr>
        <w:t xml:space="preserve">The cost falls on the applicant first. Two years of tuition and reduced earnings screen out candidates who need to earn right away, many of whom would pass the exam. The fictional Trenholme apprenticeship steward argues that the sector loses its value as an entry point if entry now requires two years of schooling first (source: the fictional Trenholme apprenticeship steward's statement).</w:t>
      </w:r>
    </w:p>
    <w:p>
      <w:pPr>
        <w:pStyle w:val="ListParagraph"/>
        <w:keepLines/>
        <w:numPr>
          <w:ilvl w:val="0"/>
          <w:numId w:val="6"/>
        </w:numPr>
        <w:spacing w:after="60" w:line="276"/>
        <w:ind w:left="720" w:hanging="360"/>
      </w:pPr>
      <w:r>
        <w:rPr>
          <w:sz w:val="22"/>
          <w:szCs w:val="22"/>
        </w:rPr>
        <w:t xml:space="preserve">A structured apprenticeship can cover the same competencies. The negative team can propose registered apprenticeship hours, a written competency checklist, and paid release time for coursework, a package that teaches the membrane and reporting skills without requiring a finished degree before hire (source: the fictional Trenholme apprenticeship steward's alternative proposal).</w:t>
      </w:r>
    </w:p>
    <w:p>
      <w:pPr>
        <w:pStyle w:val="ListParagraph"/>
        <w:keepLines/>
        <w:numPr>
          <w:ilvl w:val="0"/>
          <w:numId w:val="6"/>
        </w:numPr>
        <w:spacing w:after="60" w:line="276"/>
        <w:ind w:left="720" w:hanging="360"/>
      </w:pPr>
      <w:r>
        <w:rPr>
          <w:sz w:val="22"/>
          <w:szCs w:val="22"/>
        </w:rPr>
        <w:t xml:space="preserve">Neighboring systems will hire the same people faster. Small and rural systems near Trenholme keep the diploma standard. A degree rule may move applicants to those utilities rather than raise the quality of Trenholme's pool (source: the fictional regional water operators association survey of member systems).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Trenholme Water Authority: Should Operator Trainees Need a Degree?</w:t>
      </w:r>
    </w:p>
    <w:p>
      <w:pPr>
        <w:keepNext/>
        <w:spacing w:after="160"/>
      </w:pPr>
      <w:r>
        <w:rPr>
          <w:color w:val="5B6B70"/>
          <w:sz w:val="20"/>
          <w:szCs w:val="20"/>
        </w:rPr>
        <w:t xml:space="preserve">Debate kit · Grade 12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3435"/>
        <w:gridCol w:w="3434"/>
        <w:gridCol w:w="2804"/>
        <w:gridCol w:w="2395"/>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4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34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8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3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3435"/>
            <w:tcMar>
              <w:top w:type="dxa" w:w="70"/>
              <w:left w:type="dxa" w:w="100"/>
              <w:bottom w:type="dxa" w:w="70"/>
              <w:right w:type="dxa" w:w="100"/>
            </w:tcMar>
            <w:vAlign w:val="top"/>
          </w:tcPr>
          <w:p>
            <w:pPr>
              <w:keepNext/>
              <w:spacing w:after="0" w:line="252"/>
              <w:jc w:val="left"/>
            </w:pPr>
            <w:r>
              <w:rPr>
                <w:sz w:val="20"/>
                <w:szCs w:val="20"/>
              </w:rPr>
              <w:t xml:space="preserve">Cites at least four distinct evidence points, names each source, and distinguishes documented figures from fictional testimony every time</w:t>
            </w:r>
          </w:p>
        </w:tc>
        <w:tc>
          <w:tcPr>
            <w:tcW w:type="dxa" w:w="3434"/>
            <w:tcMar>
              <w:top w:type="dxa" w:w="70"/>
              <w:left w:type="dxa" w:w="100"/>
              <w:bottom w:type="dxa" w:w="70"/>
              <w:right w:type="dxa" w:w="100"/>
            </w:tcMar>
            <w:vAlign w:val="top"/>
          </w:tcPr>
          <w:p>
            <w:pPr>
              <w:keepNext/>
              <w:spacing w:after="0" w:line="252"/>
              <w:jc w:val="left"/>
            </w:pPr>
            <w:r>
              <w:rPr>
                <w:sz w:val="20"/>
                <w:szCs w:val="20"/>
              </w:rPr>
              <w:t xml:space="preserve">Cites at least three evidence points with sources named and generally distinguishes documented from fictional material</w:t>
            </w:r>
          </w:p>
        </w:tc>
        <w:tc>
          <w:tcPr>
            <w:tcW w:type="dxa" w:w="2804"/>
            <w:tcMar>
              <w:top w:type="dxa" w:w="70"/>
              <w:left w:type="dxa" w:w="100"/>
              <w:bottom w:type="dxa" w:w="70"/>
              <w:right w:type="dxa" w:w="100"/>
            </w:tcMar>
            <w:vAlign w:val="top"/>
          </w:tcPr>
          <w:p>
            <w:pPr>
              <w:keepNext/>
              <w:spacing w:after="0" w:line="252"/>
              <w:jc w:val="left"/>
            </w:pPr>
            <w:r>
              <w:rPr>
                <w:sz w:val="20"/>
                <w:szCs w:val="20"/>
              </w:rPr>
              <w:t xml:space="preserve">Cites two evidence points and names sources inconsistently</w:t>
            </w:r>
          </w:p>
        </w:tc>
        <w:tc>
          <w:tcPr>
            <w:tcW w:type="dxa" w:w="2395"/>
            <w:tcMar>
              <w:top w:type="dxa" w:w="70"/>
              <w:left w:type="dxa" w:w="100"/>
              <w:bottom w:type="dxa" w:w="70"/>
              <w:right w:type="dxa" w:w="100"/>
            </w:tcMar>
            <w:vAlign w:val="top"/>
          </w:tcPr>
          <w:p>
            <w:pPr>
              <w:keepNext/>
              <w:spacing w:after="0" w:line="252"/>
              <w:jc w:val="left"/>
            </w:pPr>
            <w:r>
              <w:rPr>
                <w:sz w:val="20"/>
                <w:szCs w:val="20"/>
              </w:rPr>
              <w:t xml:space="preserve">Asserts positions with little or no reference to the evidence file</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Understanding of licensing</w:t>
            </w:r>
          </w:p>
        </w:tc>
        <w:tc>
          <w:tcPr>
            <w:tcW w:type="dxa" w:w="3435"/>
            <w:tcMar>
              <w:top w:type="dxa" w:w="70"/>
              <w:left w:type="dxa" w:w="100"/>
              <w:bottom w:type="dxa" w:w="70"/>
              <w:right w:type="dxa" w:w="100"/>
            </w:tcMar>
            <w:vAlign w:val="top"/>
          </w:tcPr>
          <w:p>
            <w:pPr>
              <w:keepNext/>
              <w:spacing w:after="0" w:line="252"/>
              <w:jc w:val="left"/>
            </w:pPr>
            <w:r>
              <w:rPr>
                <w:sz w:val="20"/>
                <w:szCs w:val="20"/>
              </w:rPr>
              <w:t xml:space="preserve">Explains precisely what the state license requires and how an employer standard differs, and builds an argument on that distinction</w:t>
            </w:r>
          </w:p>
        </w:tc>
        <w:tc>
          <w:tcPr>
            <w:tcW w:type="dxa" w:w="3434"/>
            <w:tcMar>
              <w:top w:type="dxa" w:w="70"/>
              <w:left w:type="dxa" w:w="100"/>
              <w:bottom w:type="dxa" w:w="70"/>
              <w:right w:type="dxa" w:w="100"/>
            </w:tcMar>
            <w:vAlign w:val="top"/>
          </w:tcPr>
          <w:p>
            <w:pPr>
              <w:keepNext/>
              <w:spacing w:after="0" w:line="252"/>
              <w:jc w:val="left"/>
            </w:pPr>
            <w:r>
              <w:rPr>
                <w:sz w:val="20"/>
                <w:szCs w:val="20"/>
              </w:rPr>
              <w:t xml:space="preserve">States the difference between license and employer requirement correctly when it comes up</w:t>
            </w:r>
          </w:p>
        </w:tc>
        <w:tc>
          <w:tcPr>
            <w:tcW w:type="dxa" w:w="2804"/>
            <w:tcMar>
              <w:top w:type="dxa" w:w="70"/>
              <w:left w:type="dxa" w:w="100"/>
              <w:bottom w:type="dxa" w:w="70"/>
              <w:right w:type="dxa" w:w="100"/>
            </w:tcMar>
            <w:vAlign w:val="top"/>
          </w:tcPr>
          <w:p>
            <w:pPr>
              <w:keepNext/>
              <w:spacing w:after="0" w:line="252"/>
              <w:jc w:val="left"/>
            </w:pPr>
            <w:r>
              <w:rPr>
                <w:sz w:val="20"/>
                <w:szCs w:val="20"/>
              </w:rPr>
              <w:t xml:space="preserve">Mentions licensing but blurs it with the degree question</w:t>
            </w:r>
          </w:p>
        </w:tc>
        <w:tc>
          <w:tcPr>
            <w:tcW w:type="dxa" w:w="2395"/>
            <w:tcMar>
              <w:top w:type="dxa" w:w="70"/>
              <w:left w:type="dxa" w:w="100"/>
              <w:bottom w:type="dxa" w:w="70"/>
              <w:right w:type="dxa" w:w="100"/>
            </w:tcMar>
            <w:vAlign w:val="top"/>
          </w:tcPr>
          <w:p>
            <w:pPr>
              <w:keepNext/>
              <w:spacing w:after="0" w:line="252"/>
              <w:jc w:val="left"/>
            </w:pPr>
            <w:r>
              <w:rPr>
                <w:sz w:val="20"/>
                <w:szCs w:val="20"/>
              </w:rPr>
              <w:t xml:space="preserve">Treats a degree and a license as the same credential</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3435"/>
            <w:tcMar>
              <w:top w:type="dxa" w:w="70"/>
              <w:left w:type="dxa" w:w="100"/>
              <w:bottom w:type="dxa" w:w="70"/>
              <w:right w:type="dxa" w:w="100"/>
            </w:tcMar>
            <w:vAlign w:val="top"/>
          </w:tcPr>
          <w:p>
            <w:pPr>
              <w:keepNext/>
              <w:spacing w:after="0" w:line="252"/>
              <w:jc w:val="left"/>
            </w:pPr>
            <w:r>
              <w:rPr>
                <w:sz w:val="20"/>
                <w:szCs w:val="20"/>
              </w:rPr>
              <w:t xml:space="preserve">Restates the opposing point accurately, then answers it with specific evidence rather than repetition</w:t>
            </w:r>
          </w:p>
        </w:tc>
        <w:tc>
          <w:tcPr>
            <w:tcW w:type="dxa" w:w="3434"/>
            <w:tcMar>
              <w:top w:type="dxa" w:w="70"/>
              <w:left w:type="dxa" w:w="100"/>
              <w:bottom w:type="dxa" w:w="70"/>
              <w:right w:type="dxa" w:w="100"/>
            </w:tcMar>
            <w:vAlign w:val="top"/>
          </w:tcPr>
          <w:p>
            <w:pPr>
              <w:keepNext/>
              <w:spacing w:after="0" w:line="252"/>
              <w:jc w:val="left"/>
            </w:pPr>
            <w:r>
              <w:rPr>
                <w:sz w:val="20"/>
                <w:szCs w:val="20"/>
              </w:rPr>
              <w:t xml:space="preserve">Answers the opposing point with relevant evidence, though sometimes without restating it fairly</w:t>
            </w:r>
          </w:p>
        </w:tc>
        <w:tc>
          <w:tcPr>
            <w:tcW w:type="dxa" w:w="2804"/>
            <w:tcMar>
              <w:top w:type="dxa" w:w="70"/>
              <w:left w:type="dxa" w:w="100"/>
              <w:bottom w:type="dxa" w:w="70"/>
              <w:right w:type="dxa" w:w="100"/>
            </w:tcMar>
            <w:vAlign w:val="top"/>
          </w:tcPr>
          <w:p>
            <w:pPr>
              <w:keepNext/>
              <w:spacing w:after="0" w:line="252"/>
              <w:jc w:val="left"/>
            </w:pPr>
            <w:r>
              <w:rPr>
                <w:sz w:val="20"/>
                <w:szCs w:val="20"/>
              </w:rPr>
              <w:t xml:space="preserve">Responds to the general topic rather than to the point made</w:t>
            </w:r>
          </w:p>
        </w:tc>
        <w:tc>
          <w:tcPr>
            <w:tcW w:type="dxa" w:w="2395"/>
            <w:tcMar>
              <w:top w:type="dxa" w:w="70"/>
              <w:left w:type="dxa" w:w="100"/>
              <w:bottom w:type="dxa" w:w="70"/>
              <w:right w:type="dxa" w:w="100"/>
            </w:tcMar>
            <w:vAlign w:val="top"/>
          </w:tcPr>
          <w:p>
            <w:pPr>
              <w:keepNext/>
              <w:spacing w:after="0" w:line="252"/>
              <w:jc w:val="left"/>
            </w:pPr>
            <w:r>
              <w:rPr>
                <w:sz w:val="20"/>
                <w:szCs w:val="20"/>
              </w:rPr>
              <w:t xml:space="preserve">Does not respond to opposing arguments</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Deliberation and delivery</w:t>
            </w:r>
          </w:p>
        </w:tc>
        <w:tc>
          <w:tcPr>
            <w:tcW w:type="dxa" w:w="3435"/>
            <w:tcMar>
              <w:top w:type="dxa" w:w="70"/>
              <w:left w:type="dxa" w:w="100"/>
              <w:bottom w:type="dxa" w:w="70"/>
              <w:right w:type="dxa" w:w="100"/>
            </w:tcMar>
            <w:vAlign w:val="top"/>
          </w:tcPr>
          <w:p>
            <w:pPr>
              <w:spacing w:after="0" w:line="252"/>
              <w:jc w:val="left"/>
            </w:pPr>
            <w:r>
              <w:rPr>
                <w:sz w:val="20"/>
                <w:szCs w:val="20"/>
              </w:rPr>
              <w:t xml:space="preserve">Speaks within time, yields to the chair, asks a question that advances the discussion, and adjusts to what has already been said</w:t>
            </w:r>
          </w:p>
        </w:tc>
        <w:tc>
          <w:tcPr>
            <w:tcW w:type="dxa" w:w="3434"/>
            <w:tcMar>
              <w:top w:type="dxa" w:w="70"/>
              <w:left w:type="dxa" w:w="100"/>
              <w:bottom w:type="dxa" w:w="70"/>
              <w:right w:type="dxa" w:w="100"/>
            </w:tcMar>
            <w:vAlign w:val="top"/>
          </w:tcPr>
          <w:p>
            <w:pPr>
              <w:spacing w:after="0" w:line="252"/>
              <w:jc w:val="left"/>
            </w:pPr>
            <w:r>
              <w:rPr>
                <w:sz w:val="20"/>
                <w:szCs w:val="20"/>
              </w:rPr>
              <w:t xml:space="preserve">Speaks within time and follows the format with clear organization</w:t>
            </w:r>
          </w:p>
        </w:tc>
        <w:tc>
          <w:tcPr>
            <w:tcW w:type="dxa" w:w="2804"/>
            <w:tcMar>
              <w:top w:type="dxa" w:w="70"/>
              <w:left w:type="dxa" w:w="100"/>
              <w:bottom w:type="dxa" w:w="70"/>
              <w:right w:type="dxa" w:w="100"/>
            </w:tcMar>
            <w:vAlign w:val="top"/>
          </w:tcPr>
          <w:p>
            <w:pPr>
              <w:spacing w:after="0" w:line="252"/>
              <w:jc w:val="left"/>
            </w:pPr>
            <w:r>
              <w:rPr>
                <w:sz w:val="20"/>
                <w:szCs w:val="20"/>
              </w:rPr>
              <w:t xml:space="preserve">Runs over time or reads prepared text without adjusting to the discussion</w:t>
            </w:r>
          </w:p>
        </w:tc>
        <w:tc>
          <w:tcPr>
            <w:tcW w:type="dxa" w:w="2395"/>
            <w:tcMar>
              <w:top w:type="dxa" w:w="70"/>
              <w:left w:type="dxa" w:w="100"/>
              <w:bottom w:type="dxa" w:w="70"/>
              <w:right w:type="dxa" w:w="100"/>
            </w:tcMar>
            <w:vAlign w:val="top"/>
          </w:tcPr>
          <w:p>
            <w:pPr>
              <w:spacing w:after="0" w:line="252"/>
              <w:jc w:val="left"/>
            </w:pPr>
            <w:r>
              <w:rPr>
                <w:sz w:val="20"/>
                <w:szCs w:val="20"/>
              </w:rPr>
              <w:t xml:space="preserve">Does not follow the format or does not participate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Trenholme Water Authority: Should Operator Trainees Need a Degree?</dc:title>
  <dc:subject>Debate kit · Grade 12 · Careers &amp; CTE</dc:subject>
  <dc:creator>Water for Schools</dc:creator>
  <cp:keywords>Debate kit, Grade 12, Careers &amp; CTE</cp:keywords>
  <dc:description>A grade 12 careers debate kit on whether a fictional utility should require an associate degree for operator trainees, with two-sided evidence and a rubric.</dc:description>
  <cp:lastModifiedBy>Water for Schools</cp:lastModifiedBy>
  <cp:revision>1</cp:revision>
  <dcterms:created xsi:type="dcterms:W3CDTF">2026-10-19T16:28:52.196Z</dcterms:created>
  <dcterms:modified xsi:type="dcterms:W3CDTF">2026-10-19T16:28:52.196Z</dcterms:modified>
</cp:coreProperties>
</file>

<file path=docProps/custom.xml><?xml version="1.0" encoding="utf-8"?>
<Properties xmlns="http://schemas.openxmlformats.org/officeDocument/2006/custom-properties" xmlns:vt="http://schemas.openxmlformats.org/officeDocument/2006/docPropsVTypes"/>
</file>