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Yarrowfield Well Field: From Nitrate Trend to a New Job Description</w:t>
      </w:r>
    </w:p>
    <w:p>
      <w:pPr>
        <w:keepNext/>
        <w:spacing w:after="160"/>
      </w:pPr>
      <w:r>
        <w:rPr>
          <w:color w:val="5B6B70"/>
          <w:sz w:val="20"/>
          <w:szCs w:val="20"/>
        </w:rPr>
        <w:t xml:space="preserve">Graphic organizer · Grade 12 · Careers &amp; CTE</w:t>
      </w:r>
    </w:p>
    <w:p>
      <w:pPr>
        <w:spacing w:after="100" w:line="264"/>
      </w:pPr>
      <w:r>
        <w:rPr>
          <w:i/>
          <w:iCs/>
          <w:color w:val="12333F"/>
          <w:sz w:val="22"/>
          <w:szCs w:val="22"/>
        </w:rPr>
        <w:t xml:space="preserve">A grade 12 careers cause-and-effect chain organizer tracing how a rising nitrate trend at a fictional well field turns into new tasks, roles, credentials, and costs.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Printed organizer, one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trace how a groundwater quality trend becomes an operating decision and then a staffing decision.</w:t>
      </w:r>
    </w:p>
    <w:p>
      <w:pPr>
        <w:pStyle w:val="ListParagraph"/>
        <w:keepNext/>
        <w:keepLines/>
        <w:numPr>
          <w:ilvl w:val="0"/>
          <w:numId w:val="2"/>
        </w:numPr>
        <w:spacing w:after="60" w:line="264"/>
        <w:ind w:left="720" w:hanging="360"/>
      </w:pPr>
      <w:r>
        <w:rPr>
          <w:sz w:val="22"/>
          <w:szCs w:val="22"/>
        </w:rPr>
        <w:t xml:space="preserve">Students will compare response options by annual cost and state which cost the next step adds.</w:t>
      </w:r>
    </w:p>
    <w:p>
      <w:pPr>
        <w:pStyle w:val="ListParagraph"/>
        <w:keepLines/>
        <w:numPr>
          <w:ilvl w:val="0"/>
          <w:numId w:val="2"/>
        </w:numPr>
        <w:spacing w:after="60" w:line="264"/>
        <w:ind w:left="720" w:hanging="360"/>
      </w:pPr>
      <w:r>
        <w:rPr>
          <w:sz w:val="22"/>
          <w:szCs w:val="22"/>
        </w:rPr>
        <w:t xml:space="preserve">Students will name the credential and the tracked quantity attached to each new duty.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D2.Eco.2.9-12 (C3 Framework)</w:t>
      </w:r>
      <w:r>
        <w:rPr>
          <w:sz w:val="22"/>
          <w:szCs w:val="22"/>
        </w:rPr>
        <w:t xml:space="preserve">: Use marginal benefits and marginal costs to construct an argument for or against an approach or solution to an economic issue.</w:t>
      </w:r>
    </w:p>
    <w:p>
      <w:pPr>
        <w:spacing w:after="100" w:line="264"/>
        <w:ind w:left="360"/>
      </w:pPr>
      <w:r>
        <w:rPr>
          <w:i/>
          <w:iCs/>
          <w:color w:val="5B6B70"/>
          <w:sz w:val="20"/>
          <w:szCs w:val="20"/>
        </w:rPr>
        <w:t xml:space="preserve">How this material addresses it: Link 3 compares the four priced options, which are blending, ion exchange, a replacement well, and grower agreements, by annual cost, so students argue the choice from the cost each added step brings rather than from totals.</w:t>
      </w:r>
    </w:p>
    <w:p>
      <w:pPr>
        <w:keepNext/>
        <w:spacing w:after="40" w:line="264"/>
      </w:pPr>
      <w:r>
        <w:rPr>
          <w:b/>
          <w:bCs/>
          <w:sz w:val="22"/>
          <w:szCs w:val="22"/>
        </w:rPr>
        <w:t xml:space="preserve">HSN-Q.A.2 (Common Core Math)</w:t>
      </w:r>
      <w:r>
        <w:rPr>
          <w:sz w:val="22"/>
          <w:szCs w:val="22"/>
        </w:rPr>
        <w:t xml:space="preserve">: Define appropriate quantities for the purpose of descriptive modeling.</w:t>
      </w:r>
    </w:p>
    <w:p>
      <w:pPr>
        <w:spacing w:after="100" w:line="264"/>
        <w:ind w:left="360"/>
      </w:pPr>
      <w:r>
        <w:rPr>
          <w:i/>
          <w:iCs/>
          <w:color w:val="5B6B70"/>
          <w:sz w:val="20"/>
          <w:szCs w:val="20"/>
        </w:rPr>
        <w:t xml:space="preserve">How this material addresses it: The final column asks students to name the quantity the district would track at each link, choosing quantities suited to describing whether that step is working.</w:t>
      </w:r>
    </w:p>
    <w:p>
      <w:pPr>
        <w:pStyle w:val="Heading2"/>
        <w:keepNext/>
        <w:keepLines/>
      </w:pPr>
      <w:r>
        <w:rPr>
          <w:sz w:val="28"/>
          <w:szCs w:val="28"/>
        </w:rPr>
        <w:t xml:space="preserve">Vocabulary</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keepNext/>
        <w:spacing w:after="80" w:line="264"/>
      </w:pPr>
      <w:r>
        <w:rPr>
          <w:b/>
          <w:bCs/>
          <w:sz w:val="22"/>
          <w:szCs w:val="22"/>
        </w:rPr>
        <w:t xml:space="preserve">Ion exchange</w:t>
      </w:r>
      <w:r>
        <w:rPr>
          <w:sz w:val="22"/>
          <w:szCs w:val="22"/>
        </w:rPr>
        <w:t xml:space="preserve">: A water treatment method that swaps unwanted charged particles in the water for harmless ones held on tiny resin beads. It is used to remove PFAS and to soften hard water.</w:t>
      </w:r>
    </w:p>
    <w:p>
      <w:pPr>
        <w:spacing w:after="100" w:line="264"/>
      </w:pPr>
      <w:r>
        <w:rPr>
          <w:b/>
          <w:bCs/>
          <w:sz w:val="22"/>
          <w:szCs w:val="22"/>
        </w:rPr>
        <w:t xml:space="preserve">Also: </w:t>
      </w:r>
      <w:r>
        <w:rPr>
          <w:sz w:val="22"/>
          <w:szCs w:val="22"/>
        </w:rPr>
        <w:t xml:space="preserve">alluvial aquifer, blending, source water protection, certified crop adviser</w:t>
      </w:r>
    </w:p>
    <w:p>
      <w:pPr>
        <w:pStyle w:val="Heading2"/>
        <w:keepNext/>
        <w:keepLines/>
      </w:pPr>
      <w:r>
        <w:rPr>
          <w:sz w:val="28"/>
          <w:szCs w:val="28"/>
        </w:rPr>
        <w:t xml:space="preserve">Teacher overview</w:t>
      </w:r>
    </w:p>
    <w:p>
      <w:pPr>
        <w:spacing w:after="100" w:line="264"/>
      </w:pPr>
      <w:r>
        <w:rPr>
          <w:sz w:val="22"/>
          <w:szCs w:val="22"/>
        </w:rPr>
        <w:t xml:space="preserve">This organizer is a cause-and-effect chain that follows one groundwater problem from the aquifer to a posted job description. Students work from a short data set for a fictional utility, the Yarrowfield Water District, and complete eight linked steps, each with a cause, an effect, the person who decides or acts, and the quantity the district would track to know whether the step is working. Students often picture a water quality problem as ending when treatment is installed, and then miss the years of sampling, reporting, and landowner work that follow. The chain is built so that the staffing links come after the treatment link, which makes that continuing work visible.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Effect column already completed for the fictional Yarrowfield chain so they supply only the actor and the tracked quantity, and provide a word bank of six roles and six quantities. Complete links 1 and 2 together as a class before students continue.</w:t>
      </w:r>
    </w:p>
    <w:p>
      <w:pPr>
        <w:pStyle w:val="Heading3"/>
        <w:keepNext/>
        <w:keepLines/>
      </w:pPr>
      <w:r>
        <w:rPr>
          <w:sz w:val="24"/>
          <w:szCs w:val="24"/>
        </w:rPr>
        <w:t xml:space="preserve">Extension</w:t>
      </w:r>
    </w:p>
    <w:p>
      <w:pPr>
        <w:spacing w:after="100" w:line="264"/>
      </w:pPr>
      <w:r>
        <w:rPr>
          <w:sz w:val="22"/>
          <w:szCs w:val="22"/>
        </w:rPr>
        <w:t xml:space="preserve">Ask students to redraw links 3 through 8 for the case where blending stops working because Well 1 also crosses the fictional district's 8.0 mg/L action level. They should state which option the district turns to next, what it costs each year, and which of the eight links change as a result.</w:t>
      </w:r>
    </w:p>
    <w:p>
      <w:pPr>
        <w:pStyle w:val="Heading3"/>
        <w:keepNext/>
        <w:keepLines/>
      </w:pPr>
      <w:r>
        <w:rPr>
          <w:sz w:val="24"/>
          <w:szCs w:val="24"/>
        </w:rPr>
        <w:t xml:space="preserve">ELL supports</w:t>
      </w:r>
    </w:p>
    <w:p>
      <w:pPr>
        <w:spacing w:after="100" w:line="264"/>
      </w:pPr>
      <w:r>
        <w:rPr>
          <w:sz w:val="22"/>
          <w:szCs w:val="22"/>
        </w:rPr>
        <w:t xml:space="preserve">Pre-teach aquifer, blending, action level, agreement, and credential with short definitions and a simple cross-section showing three wells, the crop field above them, and an arrow for nitrate moving downward. Allow noun-phrase answers in every cell, and pair students so one reads the background aloud while the other records.</w:t>
      </w:r>
    </w:p>
    <w:p>
      <w:pPr>
        <w:pStyle w:val="Heading2"/>
        <w:keepNext/>
        <w:keepLines/>
      </w:pPr>
      <w:r>
        <w:rPr>
          <w:sz w:val="28"/>
          <w:szCs w:val="28"/>
        </w:rPr>
        <w:t xml:space="preserve">Extensions</w:t>
      </w:r>
    </w:p>
    <w:p>
      <w:pPr>
        <w:spacing w:after="100" w:line="264"/>
      </w:pPr>
      <w:r>
        <w:rPr>
          <w:sz w:val="22"/>
          <w:szCs w:val="22"/>
        </w:rPr>
        <w:t xml:space="preserve">Many states publish source water assessment reports naming the contaminants that threaten each public water supply. Have students locate one report for any community, identify the leading threat named there, and write the first three links of a chain like this one for that system.</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Yarrowfield Well Field: From Nitrate Trend to a New Job Description</w:t>
      </w:r>
    </w:p>
    <w:p>
      <w:pPr>
        <w:keepNext/>
        <w:spacing w:after="160"/>
      </w:pPr>
      <w:r>
        <w:rPr>
          <w:color w:val="5B6B70"/>
          <w:sz w:val="20"/>
          <w:szCs w:val="20"/>
        </w:rPr>
        <w:t xml:space="preserve">Grade 12 · Careers &amp; CTE</w:t>
      </w:r>
    </w:p>
    <w:p>
      <w:pPr>
        <w:pStyle w:val="Heading2"/>
        <w:keepNext/>
        <w:keepLines/>
      </w:pPr>
      <w:r>
        <w:rPr>
          <w:sz w:val="28"/>
          <w:szCs w:val="28"/>
        </w:rPr>
        <w:t xml:space="preserve">Organizer</w:t>
      </w:r>
    </w:p>
    <w:p>
      <w:pPr>
        <w:spacing w:after="120" w:line="276"/>
      </w:pPr>
      <w:r>
        <w:rPr>
          <w:sz w:val="22"/>
          <w:szCs w:val="22"/>
        </w:rPr>
        <w:t xml:space="preserve">Read the background, then complete the chain. Write one short phrase in each cell.</w:t>
      </w:r>
    </w:p>
    <w:p>
      <w:pPr>
        <w:keepNext/>
        <w:keepLines/>
        <w:spacing w:after="120" w:line="276"/>
      </w:pPr>
      <w:r>
        <w:rPr>
          <w:b/>
          <w:bCs/>
          <w:sz w:val="22"/>
          <w:szCs w:val="22"/>
        </w:rPr>
        <w:t xml:space="preserve">Background: the fictional Yarrowfield Water District</w:t>
      </w:r>
    </w:p>
    <w:p>
      <w:pPr>
        <w:spacing w:after="120" w:line="276"/>
      </w:pPr>
      <w:r>
        <w:rPr>
          <w:sz w:val="22"/>
          <w:szCs w:val="22"/>
        </w:rPr>
        <w:t xml:space="preserve">Yarrowfield serves about 9,500 people from three wells in a shallow alluvial aquifer. Row-crop acreage upgradient of the well field has expanded over the past decade. Nitrate at Well 3 has risen from 4.2 mg/L eight years ago to 8.6 mg/L in the most recent round. The district's own policy sets an internal action level of 8.0 mg/L, which sits below the limit its state enforces and is meant to trigger planning well before compliance is at risk. Wells 1 and 2 have stayed near 2.5 mg/L.</w:t>
      </w:r>
    </w:p>
    <w:p>
      <w:pPr>
        <w:keepNext/>
        <w:keepLines/>
        <w:spacing w:after="120" w:line="276"/>
      </w:pPr>
      <w:r>
        <w:rPr>
          <w:b/>
          <w:bCs/>
          <w:sz w:val="22"/>
          <w:szCs w:val="22"/>
        </w:rPr>
        <w:t xml:space="preserve">Response options priced by the fictional district's engineer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949"/>
        <w:gridCol w:w="4178"/>
        <w:gridCol w:w="1953"/>
      </w:tblGrid>
      <w:tr>
        <w:trPr>
          <w:cantSplit/>
          <w:tblHeader/>
        </w:trPr>
        <w:tc>
          <w:tcPr>
            <w:tcW w:type="dxa" w:w="394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Option</w:t>
            </w:r>
          </w:p>
        </w:tc>
        <w:tc>
          <w:tcPr>
            <w:tcW w:type="dxa" w:w="417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it does</w:t>
            </w:r>
          </w:p>
        </w:tc>
        <w:tc>
          <w:tcPr>
            <w:tcW w:type="dxa" w:w="195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Annual cost</w:t>
            </w:r>
          </w:p>
        </w:tc>
      </w:tr>
      <w:tr>
        <w:trPr>
          <w:cantSplit/>
        </w:trPr>
        <w:tc>
          <w:tcPr>
            <w:tcW w:type="dxa" w:w="3949"/>
            <w:tcMar>
              <w:top w:type="dxa" w:w="70"/>
              <w:left w:type="dxa" w:w="100"/>
              <w:bottom w:type="dxa" w:w="70"/>
              <w:right w:type="dxa" w:w="100"/>
            </w:tcMar>
            <w:vAlign w:val="top"/>
          </w:tcPr>
          <w:p>
            <w:pPr>
              <w:keepNext/>
              <w:spacing w:after="0" w:line="252"/>
              <w:jc w:val="left"/>
            </w:pPr>
            <w:r>
              <w:rPr>
                <w:sz w:val="22"/>
                <w:szCs w:val="22"/>
              </w:rPr>
              <w:t xml:space="preserve">Blend Well 3 with Wells 1 and 2</w:t>
            </w:r>
          </w:p>
        </w:tc>
        <w:tc>
          <w:tcPr>
            <w:tcW w:type="dxa" w:w="4178"/>
            <w:tcMar>
              <w:top w:type="dxa" w:w="70"/>
              <w:left w:type="dxa" w:w="100"/>
              <w:bottom w:type="dxa" w:w="70"/>
              <w:right w:type="dxa" w:w="100"/>
            </w:tcMar>
            <w:vAlign w:val="top"/>
          </w:tcPr>
          <w:p>
            <w:pPr>
              <w:keepNext/>
              <w:spacing w:after="0" w:line="252"/>
              <w:jc w:val="left"/>
            </w:pPr>
            <w:r>
              <w:rPr>
                <w:sz w:val="22"/>
                <w:szCs w:val="22"/>
              </w:rPr>
              <w:t xml:space="preserve">Lowers the nitrate delivered to customers without removing any</w:t>
            </w:r>
          </w:p>
        </w:tc>
        <w:tc>
          <w:tcPr>
            <w:tcW w:type="dxa" w:w="1953"/>
            <w:tcMar>
              <w:top w:type="dxa" w:w="70"/>
              <w:left w:type="dxa" w:w="100"/>
              <w:bottom w:type="dxa" w:w="70"/>
              <w:right w:type="dxa" w:w="100"/>
            </w:tcMar>
            <w:vAlign w:val="top"/>
          </w:tcPr>
          <w:p>
            <w:pPr>
              <w:keepNext/>
              <w:spacing w:after="0" w:line="252"/>
              <w:jc w:val="left"/>
            </w:pPr>
            <w:r>
              <w:rPr>
                <w:sz w:val="22"/>
                <w:szCs w:val="22"/>
              </w:rPr>
              <w:t xml:space="preserve">$95,000</w:t>
            </w:r>
          </w:p>
        </w:tc>
      </w:tr>
      <w:tr>
        <w:trPr>
          <w:cantSplit/>
        </w:trPr>
        <w:tc>
          <w:tcPr>
            <w:tcW w:type="dxa" w:w="3949"/>
            <w:tcMar>
              <w:top w:type="dxa" w:w="70"/>
              <w:left w:type="dxa" w:w="100"/>
              <w:bottom w:type="dxa" w:w="70"/>
              <w:right w:type="dxa" w:w="100"/>
            </w:tcMar>
            <w:vAlign w:val="top"/>
          </w:tcPr>
          <w:p>
            <w:pPr>
              <w:keepNext/>
              <w:spacing w:after="0" w:line="252"/>
              <w:jc w:val="left"/>
            </w:pPr>
            <w:r>
              <w:rPr>
                <w:sz w:val="22"/>
                <w:szCs w:val="22"/>
              </w:rPr>
              <w:t xml:space="preserve">Add ion exchange treatment at Well 3</w:t>
            </w:r>
          </w:p>
        </w:tc>
        <w:tc>
          <w:tcPr>
            <w:tcW w:type="dxa" w:w="4178"/>
            <w:tcMar>
              <w:top w:type="dxa" w:w="70"/>
              <w:left w:type="dxa" w:w="100"/>
              <w:bottom w:type="dxa" w:w="70"/>
              <w:right w:type="dxa" w:w="100"/>
            </w:tcMar>
            <w:vAlign w:val="top"/>
          </w:tcPr>
          <w:p>
            <w:pPr>
              <w:keepNext/>
              <w:spacing w:after="0" w:line="252"/>
              <w:jc w:val="left"/>
            </w:pPr>
            <w:r>
              <w:rPr>
                <w:sz w:val="22"/>
                <w:szCs w:val="22"/>
              </w:rPr>
              <w:t xml:space="preserve">Removes nitrate from the Well 3 stream</w:t>
            </w:r>
          </w:p>
        </w:tc>
        <w:tc>
          <w:tcPr>
            <w:tcW w:type="dxa" w:w="1953"/>
            <w:tcMar>
              <w:top w:type="dxa" w:w="70"/>
              <w:left w:type="dxa" w:w="100"/>
              <w:bottom w:type="dxa" w:w="70"/>
              <w:right w:type="dxa" w:w="100"/>
            </w:tcMar>
            <w:vAlign w:val="top"/>
          </w:tcPr>
          <w:p>
            <w:pPr>
              <w:keepNext/>
              <w:spacing w:after="0" w:line="252"/>
              <w:jc w:val="left"/>
            </w:pPr>
            <w:r>
              <w:rPr>
                <w:sz w:val="22"/>
                <w:szCs w:val="22"/>
              </w:rPr>
              <w:t xml:space="preserve">$610,000</w:t>
            </w:r>
          </w:p>
        </w:tc>
      </w:tr>
      <w:tr>
        <w:trPr>
          <w:cantSplit/>
        </w:trPr>
        <w:tc>
          <w:tcPr>
            <w:tcW w:type="dxa" w:w="3949"/>
            <w:tcMar>
              <w:top w:type="dxa" w:w="70"/>
              <w:left w:type="dxa" w:w="100"/>
              <w:bottom w:type="dxa" w:w="70"/>
              <w:right w:type="dxa" w:w="100"/>
            </w:tcMar>
            <w:vAlign w:val="top"/>
          </w:tcPr>
          <w:p>
            <w:pPr>
              <w:keepNext/>
              <w:spacing w:after="0" w:line="252"/>
              <w:jc w:val="left"/>
            </w:pPr>
            <w:r>
              <w:rPr>
                <w:sz w:val="22"/>
                <w:szCs w:val="22"/>
              </w:rPr>
              <w:t xml:space="preserve">Drill a deeper well outside the affected zone</w:t>
            </w:r>
          </w:p>
        </w:tc>
        <w:tc>
          <w:tcPr>
            <w:tcW w:type="dxa" w:w="4178"/>
            <w:tcMar>
              <w:top w:type="dxa" w:w="70"/>
              <w:left w:type="dxa" w:w="100"/>
              <w:bottom w:type="dxa" w:w="70"/>
              <w:right w:type="dxa" w:w="100"/>
            </w:tcMar>
            <w:vAlign w:val="top"/>
          </w:tcPr>
          <w:p>
            <w:pPr>
              <w:keepNext/>
              <w:spacing w:after="0" w:line="252"/>
              <w:jc w:val="left"/>
            </w:pPr>
            <w:r>
              <w:rPr>
                <w:sz w:val="22"/>
                <w:szCs w:val="22"/>
              </w:rPr>
              <w:t xml:space="preserve">Replaces the affected supply</w:t>
            </w:r>
          </w:p>
        </w:tc>
        <w:tc>
          <w:tcPr>
            <w:tcW w:type="dxa" w:w="1953"/>
            <w:tcMar>
              <w:top w:type="dxa" w:w="70"/>
              <w:left w:type="dxa" w:w="100"/>
              <w:bottom w:type="dxa" w:w="70"/>
              <w:right w:type="dxa" w:w="100"/>
            </w:tcMar>
            <w:vAlign w:val="top"/>
          </w:tcPr>
          <w:p>
            <w:pPr>
              <w:keepNext/>
              <w:spacing w:after="0" w:line="252"/>
              <w:jc w:val="left"/>
            </w:pPr>
            <w:r>
              <w:rPr>
                <w:sz w:val="22"/>
                <w:szCs w:val="22"/>
              </w:rPr>
              <w:t xml:space="preserve">$2.4 million to build, then $140,000 a year</w:t>
            </w:r>
          </w:p>
        </w:tc>
      </w:tr>
      <w:tr>
        <w:trPr>
          <w:cantSplit/>
        </w:trPr>
        <w:tc>
          <w:tcPr>
            <w:tcW w:type="dxa" w:w="3949"/>
            <w:tcMar>
              <w:top w:type="dxa" w:w="70"/>
              <w:left w:type="dxa" w:w="100"/>
              <w:bottom w:type="dxa" w:w="70"/>
              <w:right w:type="dxa" w:w="100"/>
            </w:tcMar>
            <w:vAlign w:val="top"/>
          </w:tcPr>
          <w:p>
            <w:pPr>
              <w:spacing w:after="0" w:line="252"/>
              <w:jc w:val="left"/>
            </w:pPr>
            <w:r>
              <w:rPr>
                <w:sz w:val="22"/>
                <w:szCs w:val="22"/>
              </w:rPr>
              <w:t xml:space="preserve">Source water protection agreements with upgradient growers</w:t>
            </w:r>
          </w:p>
        </w:tc>
        <w:tc>
          <w:tcPr>
            <w:tcW w:type="dxa" w:w="4178"/>
            <w:tcMar>
              <w:top w:type="dxa" w:w="70"/>
              <w:left w:type="dxa" w:w="100"/>
              <w:bottom w:type="dxa" w:w="70"/>
              <w:right w:type="dxa" w:w="100"/>
            </w:tcMar>
            <w:vAlign w:val="top"/>
          </w:tcPr>
          <w:p>
            <w:pPr>
              <w:spacing w:after="0" w:line="252"/>
              <w:jc w:val="left"/>
            </w:pPr>
            <w:r>
              <w:rPr>
                <w:sz w:val="22"/>
                <w:szCs w:val="22"/>
              </w:rPr>
              <w:t xml:space="preserve">Slows or reverses the loading that caused the trend</w:t>
            </w:r>
          </w:p>
        </w:tc>
        <w:tc>
          <w:tcPr>
            <w:tcW w:type="dxa" w:w="1953"/>
            <w:tcMar>
              <w:top w:type="dxa" w:w="70"/>
              <w:left w:type="dxa" w:w="100"/>
              <w:bottom w:type="dxa" w:w="70"/>
              <w:right w:type="dxa" w:w="100"/>
            </w:tcMar>
            <w:vAlign w:val="top"/>
          </w:tcPr>
          <w:p>
            <w:pPr>
              <w:spacing w:after="0" w:line="252"/>
              <w:jc w:val="left"/>
            </w:pPr>
            <w:r>
              <w:rPr>
                <w:sz w:val="22"/>
                <w:szCs w:val="22"/>
              </w:rPr>
              <w:t xml:space="preserve">$70,000</w:t>
            </w: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keepLines/>
        <w:spacing w:after="120" w:line="276"/>
      </w:pPr>
      <w:r>
        <w:rPr>
          <w:b/>
          <w:bCs/>
          <w:sz w:val="22"/>
          <w:szCs w:val="22"/>
        </w:rPr>
        <w:t xml:space="preserve">Chain to complete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709"/>
        <w:gridCol w:w="2548"/>
        <w:gridCol w:w="1157"/>
        <w:gridCol w:w="3240"/>
        <w:gridCol w:w="3260"/>
        <w:gridCol w:w="2766"/>
      </w:tblGrid>
      <w:tr>
        <w:trPr>
          <w:cantSplit/>
          <w:tblHeader/>
        </w:trPr>
        <w:tc>
          <w:tcPr>
            <w:tcW w:type="dxa" w:w="70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Link</w:t>
            </w:r>
          </w:p>
        </w:tc>
        <w:tc>
          <w:tcPr>
            <w:tcW w:type="dxa" w:w="254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Cause</w:t>
            </w:r>
          </w:p>
        </w:tc>
        <w:tc>
          <w:tcPr>
            <w:tcW w:type="dxa" w:w="115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Leads to</w:t>
            </w:r>
          </w:p>
        </w:tc>
        <w:tc>
          <w:tcPr>
            <w:tcW w:type="dxa" w:w="324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Effect</w:t>
            </w:r>
          </w:p>
        </w:tc>
        <w:tc>
          <w:tcPr>
            <w:tcW w:type="dxa" w:w="326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Who decides or acts</w:t>
            </w:r>
          </w:p>
        </w:tc>
        <w:tc>
          <w:tcPr>
            <w:tcW w:type="dxa" w:w="276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Quantity the district tracks</w:t>
            </w:r>
          </w:p>
        </w:tc>
      </w:tr>
      <w:tr>
        <w:trPr>
          <w:cantSplit/>
          <w:trHeight w:val="1440" w:hRule="atLeast"/>
        </w:trPr>
        <w:tc>
          <w:tcPr>
            <w:tcW w:type="dxa" w:w="709"/>
            <w:tcMar>
              <w:top w:type="dxa" w:w="70"/>
              <w:left w:type="dxa" w:w="100"/>
              <w:bottom w:type="dxa" w:w="70"/>
              <w:right w:type="dxa" w:w="100"/>
            </w:tcMar>
            <w:vAlign w:val="top"/>
          </w:tcPr>
          <w:p>
            <w:pPr>
              <w:spacing w:after="0" w:line="252"/>
              <w:jc w:val="left"/>
            </w:pPr>
            <w:r>
              <w:rPr>
                <w:sz w:val="20"/>
                <w:szCs w:val="20"/>
              </w:rPr>
              <w:t xml:space="preserve">1</w:t>
            </w:r>
          </w:p>
        </w:tc>
        <w:tc>
          <w:tcPr>
            <w:tcW w:type="dxa" w:w="2548"/>
            <w:tcMar>
              <w:top w:type="dxa" w:w="70"/>
              <w:left w:type="dxa" w:w="100"/>
              <w:bottom w:type="dxa" w:w="70"/>
              <w:right w:type="dxa" w:w="100"/>
            </w:tcMar>
            <w:vAlign w:val="top"/>
          </w:tcPr>
          <w:p>
            <w:pPr>
              <w:spacing w:after="0" w:line="252"/>
              <w:jc w:val="left"/>
            </w:pPr>
            <w:r>
              <w:rPr>
                <w:sz w:val="20"/>
                <w:szCs w:val="20"/>
              </w:rPr>
              <w:t xml:space="preserve">Upgradient land use changes</w:t>
            </w:r>
          </w:p>
        </w:tc>
        <w:tc>
          <w:tcPr>
            <w:tcW w:type="dxa" w:w="1157"/>
            <w:tcMar>
              <w:top w:type="dxa" w:w="70"/>
              <w:left w:type="dxa" w:w="100"/>
              <w:bottom w:type="dxa" w:w="70"/>
              <w:right w:type="dxa" w:w="100"/>
            </w:tcMar>
            <w:vAlign w:val="top"/>
          </w:tcPr>
          <w:p>
            <w:pPr>
              <w:spacing w:after="0" w:line="252"/>
              <w:jc w:val="left"/>
            </w:pPr>
            <w:r>
              <w:rPr>
                <w:sz w:val="20"/>
                <w:szCs w:val="20"/>
              </w:rPr>
              <w:t xml:space="preserve">→</w:t>
            </w:r>
          </w:p>
        </w:tc>
        <w:tc>
          <w:tcPr>
            <w:tcW w:type="dxa" w:w="3240"/>
            <w:tcMar>
              <w:top w:type="dxa" w:w="70"/>
              <w:left w:type="dxa" w:w="100"/>
              <w:bottom w:type="dxa" w:w="70"/>
              <w:right w:type="dxa" w:w="100"/>
            </w:tcMar>
            <w:vAlign w:val="top"/>
          </w:tcPr>
          <w:p>
            <w:pPr>
              <w:spacing w:after="0" w:line="252"/>
              <w:jc w:val="left"/>
            </w:pPr>
          </w:p>
        </w:tc>
        <w:tc>
          <w:tcPr>
            <w:tcW w:type="dxa" w:w="3260"/>
            <w:tcMar>
              <w:top w:type="dxa" w:w="70"/>
              <w:left w:type="dxa" w:w="100"/>
              <w:bottom w:type="dxa" w:w="70"/>
              <w:right w:type="dxa" w:w="100"/>
            </w:tcMar>
            <w:vAlign w:val="top"/>
          </w:tcPr>
          <w:p>
            <w:pPr>
              <w:spacing w:after="0" w:line="252"/>
              <w:jc w:val="left"/>
            </w:pPr>
          </w:p>
        </w:tc>
        <w:tc>
          <w:tcPr>
            <w:tcW w:type="dxa" w:w="2766"/>
            <w:tcMar>
              <w:top w:type="dxa" w:w="70"/>
              <w:left w:type="dxa" w:w="100"/>
              <w:bottom w:type="dxa" w:w="70"/>
              <w:right w:type="dxa" w:w="100"/>
            </w:tcMar>
            <w:vAlign w:val="top"/>
          </w:tcPr>
          <w:p>
            <w:pPr>
              <w:spacing w:after="0" w:line="252"/>
              <w:jc w:val="left"/>
            </w:pPr>
          </w:p>
        </w:tc>
      </w:tr>
      <w:tr>
        <w:trPr>
          <w:cantSplit/>
          <w:trHeight w:val="1440" w:hRule="atLeast"/>
        </w:trPr>
        <w:tc>
          <w:tcPr>
            <w:tcW w:type="dxa" w:w="709"/>
            <w:tcMar>
              <w:top w:type="dxa" w:w="70"/>
              <w:left w:type="dxa" w:w="100"/>
              <w:bottom w:type="dxa" w:w="70"/>
              <w:right w:type="dxa" w:w="100"/>
            </w:tcMar>
            <w:vAlign w:val="top"/>
          </w:tcPr>
          <w:p>
            <w:pPr>
              <w:spacing w:after="0" w:line="252"/>
              <w:jc w:val="left"/>
            </w:pPr>
            <w:r>
              <w:rPr>
                <w:sz w:val="20"/>
                <w:szCs w:val="20"/>
              </w:rPr>
              <w:t xml:space="preserve">2</w:t>
            </w:r>
          </w:p>
        </w:tc>
        <w:tc>
          <w:tcPr>
            <w:tcW w:type="dxa" w:w="2548"/>
            <w:tcMar>
              <w:top w:type="dxa" w:w="70"/>
              <w:left w:type="dxa" w:w="100"/>
              <w:bottom w:type="dxa" w:w="70"/>
              <w:right w:type="dxa" w:w="100"/>
            </w:tcMar>
            <w:vAlign w:val="top"/>
          </w:tcPr>
          <w:p>
            <w:pPr>
              <w:spacing w:after="0" w:line="252"/>
              <w:jc w:val="left"/>
            </w:pPr>
            <w:r>
              <w:rPr>
                <w:sz w:val="20"/>
                <w:szCs w:val="20"/>
              </w:rPr>
              <w:t xml:space="preserve">Nitrate at Well 3 reaches the internal action level</w:t>
            </w:r>
          </w:p>
        </w:tc>
        <w:tc>
          <w:tcPr>
            <w:tcW w:type="dxa" w:w="1157"/>
            <w:tcMar>
              <w:top w:type="dxa" w:w="70"/>
              <w:left w:type="dxa" w:w="100"/>
              <w:bottom w:type="dxa" w:w="70"/>
              <w:right w:type="dxa" w:w="100"/>
            </w:tcMar>
            <w:vAlign w:val="top"/>
          </w:tcPr>
          <w:p>
            <w:pPr>
              <w:spacing w:after="0" w:line="252"/>
              <w:jc w:val="left"/>
            </w:pPr>
            <w:r>
              <w:rPr>
                <w:sz w:val="20"/>
                <w:szCs w:val="20"/>
              </w:rPr>
              <w:t xml:space="preserve">→</w:t>
            </w:r>
          </w:p>
        </w:tc>
        <w:tc>
          <w:tcPr>
            <w:tcW w:type="dxa" w:w="3240"/>
            <w:tcMar>
              <w:top w:type="dxa" w:w="70"/>
              <w:left w:type="dxa" w:w="100"/>
              <w:bottom w:type="dxa" w:w="70"/>
              <w:right w:type="dxa" w:w="100"/>
            </w:tcMar>
            <w:vAlign w:val="top"/>
          </w:tcPr>
          <w:p>
            <w:pPr>
              <w:spacing w:after="0" w:line="252"/>
              <w:jc w:val="left"/>
            </w:pPr>
          </w:p>
        </w:tc>
        <w:tc>
          <w:tcPr>
            <w:tcW w:type="dxa" w:w="3260"/>
            <w:tcMar>
              <w:top w:type="dxa" w:w="70"/>
              <w:left w:type="dxa" w:w="100"/>
              <w:bottom w:type="dxa" w:w="70"/>
              <w:right w:type="dxa" w:w="100"/>
            </w:tcMar>
            <w:vAlign w:val="top"/>
          </w:tcPr>
          <w:p>
            <w:pPr>
              <w:spacing w:after="0" w:line="252"/>
              <w:jc w:val="left"/>
            </w:pPr>
          </w:p>
        </w:tc>
        <w:tc>
          <w:tcPr>
            <w:tcW w:type="dxa" w:w="2766"/>
            <w:tcMar>
              <w:top w:type="dxa" w:w="70"/>
              <w:left w:type="dxa" w:w="100"/>
              <w:bottom w:type="dxa" w:w="70"/>
              <w:right w:type="dxa" w:w="100"/>
            </w:tcMar>
            <w:vAlign w:val="top"/>
          </w:tcPr>
          <w:p>
            <w:pPr>
              <w:spacing w:after="0" w:line="252"/>
              <w:jc w:val="left"/>
            </w:pPr>
          </w:p>
        </w:tc>
      </w:tr>
      <w:tr>
        <w:trPr>
          <w:cantSplit/>
          <w:trHeight w:val="1440" w:hRule="atLeast"/>
        </w:trPr>
        <w:tc>
          <w:tcPr>
            <w:tcW w:type="dxa" w:w="709"/>
            <w:tcMar>
              <w:top w:type="dxa" w:w="70"/>
              <w:left w:type="dxa" w:w="100"/>
              <w:bottom w:type="dxa" w:w="70"/>
              <w:right w:type="dxa" w:w="100"/>
            </w:tcMar>
            <w:vAlign w:val="top"/>
          </w:tcPr>
          <w:p>
            <w:pPr>
              <w:spacing w:after="0" w:line="252"/>
              <w:jc w:val="left"/>
            </w:pPr>
            <w:r>
              <w:rPr>
                <w:sz w:val="20"/>
                <w:szCs w:val="20"/>
              </w:rPr>
              <w:t xml:space="preserve">3</w:t>
            </w:r>
          </w:p>
        </w:tc>
        <w:tc>
          <w:tcPr>
            <w:tcW w:type="dxa" w:w="2548"/>
            <w:tcMar>
              <w:top w:type="dxa" w:w="70"/>
              <w:left w:type="dxa" w:w="100"/>
              <w:bottom w:type="dxa" w:w="70"/>
              <w:right w:type="dxa" w:w="100"/>
            </w:tcMar>
            <w:vAlign w:val="top"/>
          </w:tcPr>
          <w:p>
            <w:pPr>
              <w:spacing w:after="0" w:line="252"/>
              <w:jc w:val="left"/>
            </w:pPr>
            <w:r>
              <w:rPr>
                <w:sz w:val="20"/>
                <w:szCs w:val="20"/>
              </w:rPr>
              <w:t xml:space="preserve">The district must choose among the four options</w:t>
            </w:r>
          </w:p>
        </w:tc>
        <w:tc>
          <w:tcPr>
            <w:tcW w:type="dxa" w:w="1157"/>
            <w:tcMar>
              <w:top w:type="dxa" w:w="70"/>
              <w:left w:type="dxa" w:w="100"/>
              <w:bottom w:type="dxa" w:w="70"/>
              <w:right w:type="dxa" w:w="100"/>
            </w:tcMar>
            <w:vAlign w:val="top"/>
          </w:tcPr>
          <w:p>
            <w:pPr>
              <w:spacing w:after="0" w:line="252"/>
              <w:jc w:val="left"/>
            </w:pPr>
            <w:r>
              <w:rPr>
                <w:sz w:val="20"/>
                <w:szCs w:val="20"/>
              </w:rPr>
              <w:t xml:space="preserve">→</w:t>
            </w:r>
          </w:p>
        </w:tc>
        <w:tc>
          <w:tcPr>
            <w:tcW w:type="dxa" w:w="3240"/>
            <w:tcMar>
              <w:top w:type="dxa" w:w="70"/>
              <w:left w:type="dxa" w:w="100"/>
              <w:bottom w:type="dxa" w:w="70"/>
              <w:right w:type="dxa" w:w="100"/>
            </w:tcMar>
            <w:vAlign w:val="top"/>
          </w:tcPr>
          <w:p>
            <w:pPr>
              <w:spacing w:after="0" w:line="252"/>
              <w:jc w:val="left"/>
            </w:pPr>
          </w:p>
        </w:tc>
        <w:tc>
          <w:tcPr>
            <w:tcW w:type="dxa" w:w="3260"/>
            <w:tcMar>
              <w:top w:type="dxa" w:w="70"/>
              <w:left w:type="dxa" w:w="100"/>
              <w:bottom w:type="dxa" w:w="70"/>
              <w:right w:type="dxa" w:w="100"/>
            </w:tcMar>
            <w:vAlign w:val="top"/>
          </w:tcPr>
          <w:p>
            <w:pPr>
              <w:spacing w:after="0" w:line="252"/>
              <w:jc w:val="left"/>
            </w:pPr>
          </w:p>
        </w:tc>
        <w:tc>
          <w:tcPr>
            <w:tcW w:type="dxa" w:w="2766"/>
            <w:tcMar>
              <w:top w:type="dxa" w:w="70"/>
              <w:left w:type="dxa" w:w="100"/>
              <w:bottom w:type="dxa" w:w="70"/>
              <w:right w:type="dxa" w:w="100"/>
            </w:tcMar>
            <w:vAlign w:val="top"/>
          </w:tcPr>
          <w:p>
            <w:pPr>
              <w:spacing w:after="0" w:line="252"/>
              <w:jc w:val="left"/>
            </w:pPr>
          </w:p>
        </w:tc>
      </w:tr>
      <w:tr>
        <w:trPr>
          <w:cantSplit/>
          <w:trHeight w:val="1440" w:hRule="atLeast"/>
        </w:trPr>
        <w:tc>
          <w:tcPr>
            <w:tcW w:type="dxa" w:w="709"/>
            <w:tcMar>
              <w:top w:type="dxa" w:w="70"/>
              <w:left w:type="dxa" w:w="100"/>
              <w:bottom w:type="dxa" w:w="70"/>
              <w:right w:type="dxa" w:w="100"/>
            </w:tcMar>
            <w:vAlign w:val="top"/>
          </w:tcPr>
          <w:p>
            <w:pPr>
              <w:spacing w:after="0" w:line="252"/>
              <w:jc w:val="left"/>
            </w:pPr>
            <w:r>
              <w:rPr>
                <w:sz w:val="20"/>
                <w:szCs w:val="20"/>
              </w:rPr>
              <w:t xml:space="preserve">4</w:t>
            </w:r>
          </w:p>
        </w:tc>
        <w:tc>
          <w:tcPr>
            <w:tcW w:type="dxa" w:w="2548"/>
            <w:tcMar>
              <w:top w:type="dxa" w:w="70"/>
              <w:left w:type="dxa" w:w="100"/>
              <w:bottom w:type="dxa" w:w="70"/>
              <w:right w:type="dxa" w:w="100"/>
            </w:tcMar>
            <w:vAlign w:val="top"/>
          </w:tcPr>
          <w:p>
            <w:pPr>
              <w:spacing w:after="0" w:line="252"/>
              <w:jc w:val="left"/>
            </w:pPr>
            <w:r>
              <w:rPr>
                <w:sz w:val="20"/>
                <w:szCs w:val="20"/>
              </w:rPr>
              <w:t xml:space="preserve">The chosen response creates new daily and seasonal tasks</w:t>
            </w:r>
          </w:p>
        </w:tc>
        <w:tc>
          <w:tcPr>
            <w:tcW w:type="dxa" w:w="1157"/>
            <w:tcMar>
              <w:top w:type="dxa" w:w="70"/>
              <w:left w:type="dxa" w:w="100"/>
              <w:bottom w:type="dxa" w:w="70"/>
              <w:right w:type="dxa" w:w="100"/>
            </w:tcMar>
            <w:vAlign w:val="top"/>
          </w:tcPr>
          <w:p>
            <w:pPr>
              <w:spacing w:after="0" w:line="252"/>
              <w:jc w:val="left"/>
            </w:pPr>
            <w:r>
              <w:rPr>
                <w:sz w:val="20"/>
                <w:szCs w:val="20"/>
              </w:rPr>
              <w:t xml:space="preserve">→</w:t>
            </w:r>
          </w:p>
        </w:tc>
        <w:tc>
          <w:tcPr>
            <w:tcW w:type="dxa" w:w="3240"/>
            <w:tcMar>
              <w:top w:type="dxa" w:w="70"/>
              <w:left w:type="dxa" w:w="100"/>
              <w:bottom w:type="dxa" w:w="70"/>
              <w:right w:type="dxa" w:w="100"/>
            </w:tcMar>
            <w:vAlign w:val="top"/>
          </w:tcPr>
          <w:p>
            <w:pPr>
              <w:spacing w:after="0" w:line="252"/>
              <w:jc w:val="left"/>
            </w:pPr>
          </w:p>
        </w:tc>
        <w:tc>
          <w:tcPr>
            <w:tcW w:type="dxa" w:w="3260"/>
            <w:tcMar>
              <w:top w:type="dxa" w:w="70"/>
              <w:left w:type="dxa" w:w="100"/>
              <w:bottom w:type="dxa" w:w="70"/>
              <w:right w:type="dxa" w:w="100"/>
            </w:tcMar>
            <w:vAlign w:val="top"/>
          </w:tcPr>
          <w:p>
            <w:pPr>
              <w:spacing w:after="0" w:line="252"/>
              <w:jc w:val="left"/>
            </w:pPr>
          </w:p>
        </w:tc>
        <w:tc>
          <w:tcPr>
            <w:tcW w:type="dxa" w:w="2766"/>
            <w:tcMar>
              <w:top w:type="dxa" w:w="70"/>
              <w:left w:type="dxa" w:w="100"/>
              <w:bottom w:type="dxa" w:w="70"/>
              <w:right w:type="dxa" w:w="100"/>
            </w:tcMar>
            <w:vAlign w:val="top"/>
          </w:tcPr>
          <w:p>
            <w:pPr>
              <w:spacing w:after="0" w:line="252"/>
              <w:jc w:val="left"/>
            </w:pPr>
          </w:p>
        </w:tc>
      </w:tr>
      <w:tr>
        <w:trPr>
          <w:cantSplit/>
          <w:trHeight w:val="1440" w:hRule="atLeast"/>
        </w:trPr>
        <w:tc>
          <w:tcPr>
            <w:tcW w:type="dxa" w:w="709"/>
            <w:tcMar>
              <w:top w:type="dxa" w:w="70"/>
              <w:left w:type="dxa" w:w="100"/>
              <w:bottom w:type="dxa" w:w="70"/>
              <w:right w:type="dxa" w:w="100"/>
            </w:tcMar>
            <w:vAlign w:val="top"/>
          </w:tcPr>
          <w:p>
            <w:pPr>
              <w:spacing w:after="0" w:line="252"/>
              <w:jc w:val="left"/>
            </w:pPr>
            <w:r>
              <w:rPr>
                <w:sz w:val="20"/>
                <w:szCs w:val="20"/>
              </w:rPr>
              <w:t xml:space="preserve">5</w:t>
            </w:r>
          </w:p>
        </w:tc>
        <w:tc>
          <w:tcPr>
            <w:tcW w:type="dxa" w:w="2548"/>
            <w:tcMar>
              <w:top w:type="dxa" w:w="70"/>
              <w:left w:type="dxa" w:w="100"/>
              <w:bottom w:type="dxa" w:w="70"/>
              <w:right w:type="dxa" w:w="100"/>
            </w:tcMar>
            <w:vAlign w:val="top"/>
          </w:tcPr>
          <w:p>
            <w:pPr>
              <w:spacing w:after="0" w:line="252"/>
              <w:jc w:val="left"/>
            </w:pPr>
            <w:r>
              <w:rPr>
                <w:sz w:val="20"/>
                <w:szCs w:val="20"/>
              </w:rPr>
              <w:t xml:space="preserve">The new tasks exceed current staff hours</w:t>
            </w:r>
          </w:p>
        </w:tc>
        <w:tc>
          <w:tcPr>
            <w:tcW w:type="dxa" w:w="1157"/>
            <w:tcMar>
              <w:top w:type="dxa" w:w="70"/>
              <w:left w:type="dxa" w:w="100"/>
              <w:bottom w:type="dxa" w:w="70"/>
              <w:right w:type="dxa" w:w="100"/>
            </w:tcMar>
            <w:vAlign w:val="top"/>
          </w:tcPr>
          <w:p>
            <w:pPr>
              <w:spacing w:after="0" w:line="252"/>
              <w:jc w:val="left"/>
            </w:pPr>
            <w:r>
              <w:rPr>
                <w:sz w:val="20"/>
                <w:szCs w:val="20"/>
              </w:rPr>
              <w:t xml:space="preserve">→</w:t>
            </w:r>
          </w:p>
        </w:tc>
        <w:tc>
          <w:tcPr>
            <w:tcW w:type="dxa" w:w="3240"/>
            <w:tcMar>
              <w:top w:type="dxa" w:w="70"/>
              <w:left w:type="dxa" w:w="100"/>
              <w:bottom w:type="dxa" w:w="70"/>
              <w:right w:type="dxa" w:w="100"/>
            </w:tcMar>
            <w:vAlign w:val="top"/>
          </w:tcPr>
          <w:p>
            <w:pPr>
              <w:spacing w:after="0" w:line="252"/>
              <w:jc w:val="left"/>
            </w:pPr>
          </w:p>
        </w:tc>
        <w:tc>
          <w:tcPr>
            <w:tcW w:type="dxa" w:w="3260"/>
            <w:tcMar>
              <w:top w:type="dxa" w:w="70"/>
              <w:left w:type="dxa" w:w="100"/>
              <w:bottom w:type="dxa" w:w="70"/>
              <w:right w:type="dxa" w:w="100"/>
            </w:tcMar>
            <w:vAlign w:val="top"/>
          </w:tcPr>
          <w:p>
            <w:pPr>
              <w:spacing w:after="0" w:line="252"/>
              <w:jc w:val="left"/>
            </w:pPr>
          </w:p>
        </w:tc>
        <w:tc>
          <w:tcPr>
            <w:tcW w:type="dxa" w:w="2766"/>
            <w:tcMar>
              <w:top w:type="dxa" w:w="70"/>
              <w:left w:type="dxa" w:w="100"/>
              <w:bottom w:type="dxa" w:w="70"/>
              <w:right w:type="dxa" w:w="100"/>
            </w:tcMar>
            <w:vAlign w:val="top"/>
          </w:tcPr>
          <w:p>
            <w:pPr>
              <w:spacing w:after="0" w:line="252"/>
              <w:jc w:val="left"/>
            </w:pPr>
          </w:p>
        </w:tc>
      </w:tr>
      <w:tr>
        <w:trPr>
          <w:cantSplit/>
          <w:trHeight w:val="1440" w:hRule="atLeast"/>
        </w:trPr>
        <w:tc>
          <w:tcPr>
            <w:tcW w:type="dxa" w:w="709"/>
            <w:tcMar>
              <w:top w:type="dxa" w:w="70"/>
              <w:left w:type="dxa" w:w="100"/>
              <w:bottom w:type="dxa" w:w="70"/>
              <w:right w:type="dxa" w:w="100"/>
            </w:tcMar>
            <w:vAlign w:val="top"/>
          </w:tcPr>
          <w:p>
            <w:pPr>
              <w:spacing w:after="0" w:line="252"/>
              <w:jc w:val="left"/>
            </w:pPr>
            <w:r>
              <w:rPr>
                <w:sz w:val="20"/>
                <w:szCs w:val="20"/>
              </w:rPr>
              <w:t xml:space="preserve">6</w:t>
            </w:r>
          </w:p>
        </w:tc>
        <w:tc>
          <w:tcPr>
            <w:tcW w:type="dxa" w:w="2548"/>
            <w:tcMar>
              <w:top w:type="dxa" w:w="70"/>
              <w:left w:type="dxa" w:w="100"/>
              <w:bottom w:type="dxa" w:w="70"/>
              <w:right w:type="dxa" w:w="100"/>
            </w:tcMar>
            <w:vAlign w:val="top"/>
          </w:tcPr>
          <w:p>
            <w:pPr>
              <w:spacing w:after="0" w:line="252"/>
              <w:jc w:val="left"/>
            </w:pPr>
            <w:r>
              <w:rPr>
                <w:sz w:val="20"/>
                <w:szCs w:val="20"/>
              </w:rPr>
              <w:t xml:space="preserve">The new position requires specific qualifications</w:t>
            </w:r>
          </w:p>
        </w:tc>
        <w:tc>
          <w:tcPr>
            <w:tcW w:type="dxa" w:w="1157"/>
            <w:tcMar>
              <w:top w:type="dxa" w:w="70"/>
              <w:left w:type="dxa" w:w="100"/>
              <w:bottom w:type="dxa" w:w="70"/>
              <w:right w:type="dxa" w:w="100"/>
            </w:tcMar>
            <w:vAlign w:val="top"/>
          </w:tcPr>
          <w:p>
            <w:pPr>
              <w:spacing w:after="0" w:line="252"/>
              <w:jc w:val="left"/>
            </w:pPr>
            <w:r>
              <w:rPr>
                <w:sz w:val="20"/>
                <w:szCs w:val="20"/>
              </w:rPr>
              <w:t xml:space="preserve">→</w:t>
            </w:r>
          </w:p>
        </w:tc>
        <w:tc>
          <w:tcPr>
            <w:tcW w:type="dxa" w:w="3240"/>
            <w:tcMar>
              <w:top w:type="dxa" w:w="70"/>
              <w:left w:type="dxa" w:w="100"/>
              <w:bottom w:type="dxa" w:w="70"/>
              <w:right w:type="dxa" w:w="100"/>
            </w:tcMar>
            <w:vAlign w:val="top"/>
          </w:tcPr>
          <w:p>
            <w:pPr>
              <w:spacing w:after="0" w:line="252"/>
              <w:jc w:val="left"/>
            </w:pPr>
          </w:p>
        </w:tc>
        <w:tc>
          <w:tcPr>
            <w:tcW w:type="dxa" w:w="3260"/>
            <w:tcMar>
              <w:top w:type="dxa" w:w="70"/>
              <w:left w:type="dxa" w:w="100"/>
              <w:bottom w:type="dxa" w:w="70"/>
              <w:right w:type="dxa" w:w="100"/>
            </w:tcMar>
            <w:vAlign w:val="top"/>
          </w:tcPr>
          <w:p>
            <w:pPr>
              <w:spacing w:after="0" w:line="252"/>
              <w:jc w:val="left"/>
            </w:pPr>
          </w:p>
        </w:tc>
        <w:tc>
          <w:tcPr>
            <w:tcW w:type="dxa" w:w="2766"/>
            <w:tcMar>
              <w:top w:type="dxa" w:w="70"/>
              <w:left w:type="dxa" w:w="100"/>
              <w:bottom w:type="dxa" w:w="70"/>
              <w:right w:type="dxa" w:w="100"/>
            </w:tcMar>
            <w:vAlign w:val="top"/>
          </w:tcPr>
          <w:p>
            <w:pPr>
              <w:spacing w:after="0" w:line="252"/>
              <w:jc w:val="left"/>
            </w:pPr>
          </w:p>
        </w:tc>
      </w:tr>
      <w:tr>
        <w:trPr>
          <w:cantSplit/>
          <w:trHeight w:val="1440" w:hRule="atLeast"/>
        </w:trPr>
        <w:tc>
          <w:tcPr>
            <w:tcW w:type="dxa" w:w="709"/>
            <w:tcMar>
              <w:top w:type="dxa" w:w="70"/>
              <w:left w:type="dxa" w:w="100"/>
              <w:bottom w:type="dxa" w:w="70"/>
              <w:right w:type="dxa" w:w="100"/>
            </w:tcMar>
            <w:vAlign w:val="top"/>
          </w:tcPr>
          <w:p>
            <w:pPr>
              <w:spacing w:after="0" w:line="252"/>
              <w:jc w:val="left"/>
            </w:pPr>
            <w:r>
              <w:rPr>
                <w:sz w:val="20"/>
                <w:szCs w:val="20"/>
              </w:rPr>
              <w:t xml:space="preserve">7</w:t>
            </w:r>
          </w:p>
        </w:tc>
        <w:tc>
          <w:tcPr>
            <w:tcW w:type="dxa" w:w="2548"/>
            <w:tcMar>
              <w:top w:type="dxa" w:w="70"/>
              <w:left w:type="dxa" w:w="100"/>
              <w:bottom w:type="dxa" w:w="70"/>
              <w:right w:type="dxa" w:w="100"/>
            </w:tcMar>
            <w:vAlign w:val="top"/>
          </w:tcPr>
          <w:p>
            <w:pPr>
              <w:spacing w:after="0" w:line="252"/>
              <w:jc w:val="left"/>
            </w:pPr>
            <w:r>
              <w:rPr>
                <w:sz w:val="20"/>
                <w:szCs w:val="20"/>
              </w:rPr>
              <w:t xml:space="preserve">Qualified candidates must be recruited or trained</w:t>
            </w:r>
          </w:p>
        </w:tc>
        <w:tc>
          <w:tcPr>
            <w:tcW w:type="dxa" w:w="1157"/>
            <w:tcMar>
              <w:top w:type="dxa" w:w="70"/>
              <w:left w:type="dxa" w:w="100"/>
              <w:bottom w:type="dxa" w:w="70"/>
              <w:right w:type="dxa" w:w="100"/>
            </w:tcMar>
            <w:vAlign w:val="top"/>
          </w:tcPr>
          <w:p>
            <w:pPr>
              <w:spacing w:after="0" w:line="252"/>
              <w:jc w:val="left"/>
            </w:pPr>
            <w:r>
              <w:rPr>
                <w:sz w:val="20"/>
                <w:szCs w:val="20"/>
              </w:rPr>
              <w:t xml:space="preserve">→</w:t>
            </w:r>
          </w:p>
        </w:tc>
        <w:tc>
          <w:tcPr>
            <w:tcW w:type="dxa" w:w="3240"/>
            <w:tcMar>
              <w:top w:type="dxa" w:w="70"/>
              <w:left w:type="dxa" w:w="100"/>
              <w:bottom w:type="dxa" w:w="70"/>
              <w:right w:type="dxa" w:w="100"/>
            </w:tcMar>
            <w:vAlign w:val="top"/>
          </w:tcPr>
          <w:p>
            <w:pPr>
              <w:spacing w:after="0" w:line="252"/>
              <w:jc w:val="left"/>
            </w:pPr>
          </w:p>
        </w:tc>
        <w:tc>
          <w:tcPr>
            <w:tcW w:type="dxa" w:w="3260"/>
            <w:tcMar>
              <w:top w:type="dxa" w:w="70"/>
              <w:left w:type="dxa" w:w="100"/>
              <w:bottom w:type="dxa" w:w="70"/>
              <w:right w:type="dxa" w:w="100"/>
            </w:tcMar>
            <w:vAlign w:val="top"/>
          </w:tcPr>
          <w:p>
            <w:pPr>
              <w:spacing w:after="0" w:line="252"/>
              <w:jc w:val="left"/>
            </w:pPr>
          </w:p>
        </w:tc>
        <w:tc>
          <w:tcPr>
            <w:tcW w:type="dxa" w:w="2766"/>
            <w:tcMar>
              <w:top w:type="dxa" w:w="70"/>
              <w:left w:type="dxa" w:w="100"/>
              <w:bottom w:type="dxa" w:w="70"/>
              <w:right w:type="dxa" w:w="100"/>
            </w:tcMar>
            <w:vAlign w:val="top"/>
          </w:tcPr>
          <w:p>
            <w:pPr>
              <w:spacing w:after="0" w:line="252"/>
              <w:jc w:val="left"/>
            </w:pPr>
          </w:p>
        </w:tc>
      </w:tr>
      <w:tr>
        <w:trPr>
          <w:cantSplit/>
          <w:trHeight w:val="1440" w:hRule="atLeast"/>
        </w:trPr>
        <w:tc>
          <w:tcPr>
            <w:tcW w:type="dxa" w:w="709"/>
            <w:tcMar>
              <w:top w:type="dxa" w:w="70"/>
              <w:left w:type="dxa" w:w="100"/>
              <w:bottom w:type="dxa" w:w="70"/>
              <w:right w:type="dxa" w:w="100"/>
            </w:tcMar>
            <w:vAlign w:val="top"/>
          </w:tcPr>
          <w:p>
            <w:pPr>
              <w:spacing w:after="0" w:line="252"/>
              <w:jc w:val="left"/>
            </w:pPr>
            <w:r>
              <w:rPr>
                <w:sz w:val="20"/>
                <w:szCs w:val="20"/>
              </w:rPr>
              <w:t xml:space="preserve">8</w:t>
            </w:r>
          </w:p>
        </w:tc>
        <w:tc>
          <w:tcPr>
            <w:tcW w:type="dxa" w:w="2548"/>
            <w:tcMar>
              <w:top w:type="dxa" w:w="70"/>
              <w:left w:type="dxa" w:w="100"/>
              <w:bottom w:type="dxa" w:w="70"/>
              <w:right w:type="dxa" w:w="100"/>
            </w:tcMar>
            <w:vAlign w:val="top"/>
          </w:tcPr>
          <w:p>
            <w:pPr>
              <w:spacing w:after="0" w:line="252"/>
              <w:jc w:val="left"/>
            </w:pPr>
            <w:r>
              <w:rPr>
                <w:sz w:val="20"/>
                <w:szCs w:val="20"/>
              </w:rPr>
              <w:t xml:space="preserve">Added staffing and operating cost enters the budget</w:t>
            </w:r>
          </w:p>
        </w:tc>
        <w:tc>
          <w:tcPr>
            <w:tcW w:type="dxa" w:w="1157"/>
            <w:tcMar>
              <w:top w:type="dxa" w:w="70"/>
              <w:left w:type="dxa" w:w="100"/>
              <w:bottom w:type="dxa" w:w="70"/>
              <w:right w:type="dxa" w:w="100"/>
            </w:tcMar>
            <w:vAlign w:val="top"/>
          </w:tcPr>
          <w:p>
            <w:pPr>
              <w:spacing w:after="0" w:line="252"/>
              <w:jc w:val="left"/>
            </w:pPr>
            <w:r>
              <w:rPr>
                <w:sz w:val="20"/>
                <w:szCs w:val="20"/>
              </w:rPr>
              <w:t xml:space="preserve">→</w:t>
            </w:r>
          </w:p>
        </w:tc>
        <w:tc>
          <w:tcPr>
            <w:tcW w:type="dxa" w:w="3240"/>
            <w:tcMar>
              <w:top w:type="dxa" w:w="70"/>
              <w:left w:type="dxa" w:w="100"/>
              <w:bottom w:type="dxa" w:w="70"/>
              <w:right w:type="dxa" w:w="100"/>
            </w:tcMar>
            <w:vAlign w:val="top"/>
          </w:tcPr>
          <w:p>
            <w:pPr>
              <w:spacing w:after="0" w:line="252"/>
              <w:jc w:val="left"/>
            </w:pPr>
          </w:p>
        </w:tc>
        <w:tc>
          <w:tcPr>
            <w:tcW w:type="dxa" w:w="3260"/>
            <w:tcMar>
              <w:top w:type="dxa" w:w="70"/>
              <w:left w:type="dxa" w:w="100"/>
              <w:bottom w:type="dxa" w:w="70"/>
              <w:right w:type="dxa" w:w="100"/>
            </w:tcMar>
            <w:vAlign w:val="top"/>
          </w:tcPr>
          <w:p>
            <w:pPr>
              <w:spacing w:after="0" w:line="252"/>
              <w:jc w:val="left"/>
            </w:pPr>
          </w:p>
        </w:tc>
        <w:tc>
          <w:tcPr>
            <w:tcW w:type="dxa" w:w="2766"/>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Yarrowfield Well Field: From Nitrate Trend to a New Job Description</w:t>
      </w:r>
    </w:p>
    <w:p>
      <w:pPr>
        <w:keepNext/>
        <w:spacing w:after="160"/>
      </w:pPr>
      <w:r>
        <w:rPr>
          <w:color w:val="5B6B70"/>
          <w:sz w:val="20"/>
          <w:szCs w:val="20"/>
        </w:rPr>
        <w:t xml:space="preserve">Graphic organizer · Grade 12 · Careers &amp; CTE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709"/>
        <w:gridCol w:w="2256"/>
        <w:gridCol w:w="1157"/>
        <w:gridCol w:w="3483"/>
        <w:gridCol w:w="3078"/>
        <w:gridCol w:w="2997"/>
      </w:tblGrid>
      <w:tr>
        <w:trPr>
          <w:cantSplit/>
          <w:tblHeader/>
        </w:trPr>
        <w:tc>
          <w:tcPr>
            <w:tcW w:type="dxa" w:w="70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Link</w:t>
            </w:r>
          </w:p>
        </w:tc>
        <w:tc>
          <w:tcPr>
            <w:tcW w:type="dxa" w:w="225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Cause</w:t>
            </w:r>
          </w:p>
        </w:tc>
        <w:tc>
          <w:tcPr>
            <w:tcW w:type="dxa" w:w="115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Leads to</w:t>
            </w:r>
          </w:p>
        </w:tc>
        <w:tc>
          <w:tcPr>
            <w:tcW w:type="dxa" w:w="348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Effect</w:t>
            </w:r>
          </w:p>
        </w:tc>
        <w:tc>
          <w:tcPr>
            <w:tcW w:type="dxa" w:w="307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Who decides or acts</w:t>
            </w:r>
          </w:p>
        </w:tc>
        <w:tc>
          <w:tcPr>
            <w:tcW w:type="dxa" w:w="299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Quantity the district tracks</w:t>
            </w:r>
          </w:p>
        </w:tc>
      </w:tr>
      <w:tr>
        <w:trPr>
          <w:cantSplit/>
        </w:trPr>
        <w:tc>
          <w:tcPr>
            <w:tcW w:type="dxa" w:w="709"/>
            <w:tcMar>
              <w:top w:type="dxa" w:w="70"/>
              <w:left w:type="dxa" w:w="100"/>
              <w:bottom w:type="dxa" w:w="70"/>
              <w:right w:type="dxa" w:w="100"/>
            </w:tcMar>
            <w:vAlign w:val="top"/>
          </w:tcPr>
          <w:p>
            <w:pPr>
              <w:spacing w:after="0" w:line="252"/>
              <w:jc w:val="left"/>
            </w:pPr>
            <w:r>
              <w:rPr>
                <w:sz w:val="20"/>
                <w:szCs w:val="20"/>
              </w:rPr>
              <w:t xml:space="preserve">1</w:t>
            </w:r>
          </w:p>
        </w:tc>
        <w:tc>
          <w:tcPr>
            <w:tcW w:type="dxa" w:w="2256"/>
            <w:tcMar>
              <w:top w:type="dxa" w:w="70"/>
              <w:left w:type="dxa" w:w="100"/>
              <w:bottom w:type="dxa" w:w="70"/>
              <w:right w:type="dxa" w:w="100"/>
            </w:tcMar>
            <w:vAlign w:val="top"/>
          </w:tcPr>
          <w:p>
            <w:pPr>
              <w:spacing w:after="0" w:line="252"/>
              <w:jc w:val="left"/>
            </w:pPr>
            <w:r>
              <w:rPr>
                <w:sz w:val="20"/>
                <w:szCs w:val="20"/>
              </w:rPr>
              <w:t xml:space="preserve">Upgradient land use changes</w:t>
            </w:r>
          </w:p>
        </w:tc>
        <w:tc>
          <w:tcPr>
            <w:tcW w:type="dxa" w:w="1157"/>
            <w:tcMar>
              <w:top w:type="dxa" w:w="70"/>
              <w:left w:type="dxa" w:w="100"/>
              <w:bottom w:type="dxa" w:w="70"/>
              <w:right w:type="dxa" w:w="100"/>
            </w:tcMar>
            <w:vAlign w:val="top"/>
          </w:tcPr>
          <w:p>
            <w:pPr>
              <w:spacing w:after="0" w:line="252"/>
              <w:jc w:val="left"/>
            </w:pPr>
            <w:r>
              <w:rPr>
                <w:sz w:val="20"/>
                <w:szCs w:val="20"/>
              </w:rPr>
              <w:t xml:space="preserve">→</w:t>
            </w:r>
          </w:p>
        </w:tc>
        <w:tc>
          <w:tcPr>
            <w:tcW w:type="dxa" w:w="3483"/>
            <w:tcMar>
              <w:top w:type="dxa" w:w="70"/>
              <w:left w:type="dxa" w:w="100"/>
              <w:bottom w:type="dxa" w:w="70"/>
              <w:right w:type="dxa" w:w="100"/>
            </w:tcMar>
            <w:vAlign w:val="top"/>
          </w:tcPr>
          <w:p>
            <w:pPr>
              <w:spacing w:after="0" w:line="252"/>
              <w:jc w:val="left"/>
            </w:pPr>
            <w:r>
              <w:rPr>
                <w:sz w:val="20"/>
                <w:szCs w:val="20"/>
              </w:rPr>
              <w:t xml:space="preserve">Nitrate loading to the shallow aquifer rises, and the trend appears first at the well closest to the change</w:t>
            </w:r>
          </w:p>
        </w:tc>
        <w:tc>
          <w:tcPr>
            <w:tcW w:type="dxa" w:w="3078"/>
            <w:tcMar>
              <w:top w:type="dxa" w:w="70"/>
              <w:left w:type="dxa" w:w="100"/>
              <w:bottom w:type="dxa" w:w="70"/>
              <w:right w:type="dxa" w:w="100"/>
            </w:tcMar>
            <w:vAlign w:val="top"/>
          </w:tcPr>
          <w:p>
            <w:pPr>
              <w:spacing w:after="0" w:line="252"/>
              <w:jc w:val="left"/>
            </w:pPr>
            <w:r>
              <w:rPr>
                <w:sz w:val="20"/>
                <w:szCs w:val="20"/>
              </w:rPr>
              <w:t xml:space="preserve">Nobody at the district decides this; the operator observes it in routine sampling</w:t>
            </w:r>
          </w:p>
        </w:tc>
        <w:tc>
          <w:tcPr>
            <w:tcW w:type="dxa" w:w="2997"/>
            <w:tcMar>
              <w:top w:type="dxa" w:w="70"/>
              <w:left w:type="dxa" w:w="100"/>
              <w:bottom w:type="dxa" w:w="70"/>
              <w:right w:type="dxa" w:w="100"/>
            </w:tcMar>
            <w:vAlign w:val="top"/>
          </w:tcPr>
          <w:p>
            <w:pPr>
              <w:spacing w:after="0" w:line="252"/>
              <w:jc w:val="left"/>
            </w:pPr>
            <w:r>
              <w:rPr>
                <w:sz w:val="20"/>
                <w:szCs w:val="20"/>
              </w:rPr>
              <w:t xml:space="preserve">Nitrate in mg/L at each wellhead, plotted by year</w:t>
            </w:r>
          </w:p>
        </w:tc>
      </w:tr>
      <w:tr>
        <w:trPr>
          <w:cantSplit/>
        </w:trPr>
        <w:tc>
          <w:tcPr>
            <w:tcW w:type="dxa" w:w="709"/>
            <w:tcMar>
              <w:top w:type="dxa" w:w="70"/>
              <w:left w:type="dxa" w:w="100"/>
              <w:bottom w:type="dxa" w:w="70"/>
              <w:right w:type="dxa" w:w="100"/>
            </w:tcMar>
            <w:vAlign w:val="top"/>
          </w:tcPr>
          <w:p>
            <w:pPr>
              <w:spacing w:after="0" w:line="252"/>
              <w:jc w:val="left"/>
            </w:pPr>
            <w:r>
              <w:rPr>
                <w:sz w:val="20"/>
                <w:szCs w:val="20"/>
              </w:rPr>
              <w:t xml:space="preserve">2</w:t>
            </w:r>
          </w:p>
        </w:tc>
        <w:tc>
          <w:tcPr>
            <w:tcW w:type="dxa" w:w="2256"/>
            <w:tcMar>
              <w:top w:type="dxa" w:w="70"/>
              <w:left w:type="dxa" w:w="100"/>
              <w:bottom w:type="dxa" w:w="70"/>
              <w:right w:type="dxa" w:w="100"/>
            </w:tcMar>
            <w:vAlign w:val="top"/>
          </w:tcPr>
          <w:p>
            <w:pPr>
              <w:spacing w:after="0" w:line="252"/>
              <w:jc w:val="left"/>
            </w:pPr>
            <w:r>
              <w:rPr>
                <w:sz w:val="20"/>
                <w:szCs w:val="20"/>
              </w:rPr>
              <w:t xml:space="preserve">Nitrate at Well 3 reaches the internal action level</w:t>
            </w:r>
          </w:p>
        </w:tc>
        <w:tc>
          <w:tcPr>
            <w:tcW w:type="dxa" w:w="1157"/>
            <w:tcMar>
              <w:top w:type="dxa" w:w="70"/>
              <w:left w:type="dxa" w:w="100"/>
              <w:bottom w:type="dxa" w:w="70"/>
              <w:right w:type="dxa" w:w="100"/>
            </w:tcMar>
            <w:vAlign w:val="top"/>
          </w:tcPr>
          <w:p>
            <w:pPr>
              <w:spacing w:after="0" w:line="252"/>
              <w:jc w:val="left"/>
            </w:pPr>
            <w:r>
              <w:rPr>
                <w:sz w:val="20"/>
                <w:szCs w:val="20"/>
              </w:rPr>
              <w:t xml:space="preserve">→</w:t>
            </w:r>
          </w:p>
        </w:tc>
        <w:tc>
          <w:tcPr>
            <w:tcW w:type="dxa" w:w="3483"/>
            <w:tcMar>
              <w:top w:type="dxa" w:w="70"/>
              <w:left w:type="dxa" w:w="100"/>
              <w:bottom w:type="dxa" w:w="70"/>
              <w:right w:type="dxa" w:w="100"/>
            </w:tcMar>
            <w:vAlign w:val="top"/>
          </w:tcPr>
          <w:p>
            <w:pPr>
              <w:spacing w:after="0" w:line="252"/>
              <w:jc w:val="left"/>
            </w:pPr>
            <w:r>
              <w:rPr>
                <w:sz w:val="20"/>
                <w:szCs w:val="20"/>
              </w:rPr>
              <w:t xml:space="preserve">The fictional district's 8.0 mg/L trigger converts a trend into a required planning step, with the 8.6 mg/L result starting the clock</w:t>
            </w:r>
          </w:p>
        </w:tc>
        <w:tc>
          <w:tcPr>
            <w:tcW w:type="dxa" w:w="3078"/>
            <w:tcMar>
              <w:top w:type="dxa" w:w="70"/>
              <w:left w:type="dxa" w:w="100"/>
              <w:bottom w:type="dxa" w:w="70"/>
              <w:right w:type="dxa" w:w="100"/>
            </w:tcMar>
            <w:vAlign w:val="top"/>
          </w:tcPr>
          <w:p>
            <w:pPr>
              <w:spacing w:after="0" w:line="252"/>
              <w:jc w:val="left"/>
            </w:pPr>
            <w:r>
              <w:rPr>
                <w:sz w:val="20"/>
                <w:szCs w:val="20"/>
              </w:rPr>
              <w:t xml:space="preserve">Licensed operator reports the result; the general manager opens a planning file</w:t>
            </w:r>
          </w:p>
        </w:tc>
        <w:tc>
          <w:tcPr>
            <w:tcW w:type="dxa" w:w="2997"/>
            <w:tcMar>
              <w:top w:type="dxa" w:w="70"/>
              <w:left w:type="dxa" w:w="100"/>
              <w:bottom w:type="dxa" w:w="70"/>
              <w:right w:type="dxa" w:w="100"/>
            </w:tcMar>
            <w:vAlign w:val="top"/>
          </w:tcPr>
          <w:p>
            <w:pPr>
              <w:spacing w:after="0" w:line="252"/>
              <w:jc w:val="left"/>
            </w:pPr>
            <w:r>
              <w:rPr>
                <w:sz w:val="20"/>
                <w:szCs w:val="20"/>
              </w:rPr>
              <w:t xml:space="preserve">Number of consecutive rounds at or above 8.0 mg/L</w:t>
            </w:r>
          </w:p>
        </w:tc>
      </w:tr>
      <w:tr>
        <w:trPr>
          <w:cantSplit/>
        </w:trPr>
        <w:tc>
          <w:tcPr>
            <w:tcW w:type="dxa" w:w="709"/>
            <w:tcMar>
              <w:top w:type="dxa" w:w="70"/>
              <w:left w:type="dxa" w:w="100"/>
              <w:bottom w:type="dxa" w:w="70"/>
              <w:right w:type="dxa" w:w="100"/>
            </w:tcMar>
            <w:vAlign w:val="top"/>
          </w:tcPr>
          <w:p>
            <w:pPr>
              <w:spacing w:after="0" w:line="252"/>
              <w:jc w:val="left"/>
            </w:pPr>
            <w:r>
              <w:rPr>
                <w:sz w:val="20"/>
                <w:szCs w:val="20"/>
              </w:rPr>
              <w:t xml:space="preserve">3</w:t>
            </w:r>
          </w:p>
        </w:tc>
        <w:tc>
          <w:tcPr>
            <w:tcW w:type="dxa" w:w="2256"/>
            <w:tcMar>
              <w:top w:type="dxa" w:w="70"/>
              <w:left w:type="dxa" w:w="100"/>
              <w:bottom w:type="dxa" w:w="70"/>
              <w:right w:type="dxa" w:w="100"/>
            </w:tcMar>
            <w:vAlign w:val="top"/>
          </w:tcPr>
          <w:p>
            <w:pPr>
              <w:spacing w:after="0" w:line="252"/>
              <w:jc w:val="left"/>
            </w:pPr>
            <w:r>
              <w:rPr>
                <w:sz w:val="20"/>
                <w:szCs w:val="20"/>
              </w:rPr>
              <w:t xml:space="preserve">The district must choose among the four options</w:t>
            </w:r>
          </w:p>
        </w:tc>
        <w:tc>
          <w:tcPr>
            <w:tcW w:type="dxa" w:w="1157"/>
            <w:tcMar>
              <w:top w:type="dxa" w:w="70"/>
              <w:left w:type="dxa" w:w="100"/>
              <w:bottom w:type="dxa" w:w="70"/>
              <w:right w:type="dxa" w:w="100"/>
            </w:tcMar>
            <w:vAlign w:val="top"/>
          </w:tcPr>
          <w:p>
            <w:pPr>
              <w:spacing w:after="0" w:line="252"/>
              <w:jc w:val="left"/>
            </w:pPr>
            <w:r>
              <w:rPr>
                <w:sz w:val="20"/>
                <w:szCs w:val="20"/>
              </w:rPr>
              <w:t xml:space="preserve">→</w:t>
            </w:r>
          </w:p>
        </w:tc>
        <w:tc>
          <w:tcPr>
            <w:tcW w:type="dxa" w:w="3483"/>
            <w:tcMar>
              <w:top w:type="dxa" w:w="70"/>
              <w:left w:type="dxa" w:w="100"/>
              <w:bottom w:type="dxa" w:w="70"/>
              <w:right w:type="dxa" w:w="100"/>
            </w:tcMar>
            <w:vAlign w:val="top"/>
          </w:tcPr>
          <w:p>
            <w:pPr>
              <w:spacing w:after="0" w:line="252"/>
              <w:jc w:val="left"/>
            </w:pPr>
            <w:r>
              <w:rPr>
                <w:sz w:val="20"/>
                <w:szCs w:val="20"/>
              </w:rPr>
              <w:t xml:space="preserve">Blending at $95,000 and protection agreements at $70,000 are the least costly per year, and the district adopts both, holding ion exchange at $610,000 in reserve if blending stops being enough</w:t>
            </w:r>
          </w:p>
        </w:tc>
        <w:tc>
          <w:tcPr>
            <w:tcW w:type="dxa" w:w="3078"/>
            <w:tcMar>
              <w:top w:type="dxa" w:w="70"/>
              <w:left w:type="dxa" w:w="100"/>
              <w:bottom w:type="dxa" w:w="70"/>
              <w:right w:type="dxa" w:w="100"/>
            </w:tcMar>
            <w:vAlign w:val="top"/>
          </w:tcPr>
          <w:p>
            <w:pPr>
              <w:spacing w:after="0" w:line="252"/>
              <w:jc w:val="left"/>
            </w:pPr>
            <w:r>
              <w:rPr>
                <w:sz w:val="20"/>
                <w:szCs w:val="20"/>
              </w:rPr>
              <w:t xml:space="preserve">District board, on the engineer's and general manager's recommendation</w:t>
            </w:r>
          </w:p>
        </w:tc>
        <w:tc>
          <w:tcPr>
            <w:tcW w:type="dxa" w:w="2997"/>
            <w:tcMar>
              <w:top w:type="dxa" w:w="70"/>
              <w:left w:type="dxa" w:w="100"/>
              <w:bottom w:type="dxa" w:w="70"/>
              <w:right w:type="dxa" w:w="100"/>
            </w:tcMar>
            <w:vAlign w:val="top"/>
          </w:tcPr>
          <w:p>
            <w:pPr>
              <w:spacing w:after="0" w:line="252"/>
              <w:jc w:val="left"/>
            </w:pPr>
            <w:r>
              <w:rPr>
                <w:sz w:val="20"/>
                <w:szCs w:val="20"/>
              </w:rPr>
              <w:t xml:space="preserve">Annual cost of each added step, and the nitrate delivered to customers in mg/L</w:t>
            </w:r>
          </w:p>
        </w:tc>
      </w:tr>
      <w:tr>
        <w:trPr>
          <w:cantSplit/>
        </w:trPr>
        <w:tc>
          <w:tcPr>
            <w:tcW w:type="dxa" w:w="709"/>
            <w:tcMar>
              <w:top w:type="dxa" w:w="70"/>
              <w:left w:type="dxa" w:w="100"/>
              <w:bottom w:type="dxa" w:w="70"/>
              <w:right w:type="dxa" w:w="100"/>
            </w:tcMar>
            <w:vAlign w:val="top"/>
          </w:tcPr>
          <w:p>
            <w:pPr>
              <w:spacing w:after="0" w:line="252"/>
              <w:jc w:val="left"/>
            </w:pPr>
            <w:r>
              <w:rPr>
                <w:sz w:val="20"/>
                <w:szCs w:val="20"/>
              </w:rPr>
              <w:t xml:space="preserve">4</w:t>
            </w:r>
          </w:p>
        </w:tc>
        <w:tc>
          <w:tcPr>
            <w:tcW w:type="dxa" w:w="2256"/>
            <w:tcMar>
              <w:top w:type="dxa" w:w="70"/>
              <w:left w:type="dxa" w:w="100"/>
              <w:bottom w:type="dxa" w:w="70"/>
              <w:right w:type="dxa" w:w="100"/>
            </w:tcMar>
            <w:vAlign w:val="top"/>
          </w:tcPr>
          <w:p>
            <w:pPr>
              <w:spacing w:after="0" w:line="252"/>
              <w:jc w:val="left"/>
            </w:pPr>
            <w:r>
              <w:rPr>
                <w:sz w:val="20"/>
                <w:szCs w:val="20"/>
              </w:rPr>
              <w:t xml:space="preserve">The chosen response creates new daily and seasonal tasks</w:t>
            </w:r>
          </w:p>
        </w:tc>
        <w:tc>
          <w:tcPr>
            <w:tcW w:type="dxa" w:w="1157"/>
            <w:tcMar>
              <w:top w:type="dxa" w:w="70"/>
              <w:left w:type="dxa" w:w="100"/>
              <w:bottom w:type="dxa" w:w="70"/>
              <w:right w:type="dxa" w:w="100"/>
            </w:tcMar>
            <w:vAlign w:val="top"/>
          </w:tcPr>
          <w:p>
            <w:pPr>
              <w:spacing w:after="0" w:line="252"/>
              <w:jc w:val="left"/>
            </w:pPr>
            <w:r>
              <w:rPr>
                <w:sz w:val="20"/>
                <w:szCs w:val="20"/>
              </w:rPr>
              <w:t xml:space="preserve">→</w:t>
            </w:r>
          </w:p>
        </w:tc>
        <w:tc>
          <w:tcPr>
            <w:tcW w:type="dxa" w:w="3483"/>
            <w:tcMar>
              <w:top w:type="dxa" w:w="70"/>
              <w:left w:type="dxa" w:w="100"/>
              <w:bottom w:type="dxa" w:w="70"/>
              <w:right w:type="dxa" w:w="100"/>
            </w:tcMar>
            <w:vAlign w:val="top"/>
          </w:tcPr>
          <w:p>
            <w:pPr>
              <w:spacing w:after="0" w:line="252"/>
              <w:jc w:val="left"/>
            </w:pPr>
            <w:r>
              <w:rPr>
                <w:sz w:val="20"/>
                <w:szCs w:val="20"/>
              </w:rPr>
              <w:t xml:space="preserve">Operators calculate and adjust a blend ratio each day, sampling expands from quarterly to monthly at Well 3, and someone must build and maintain agreements with growers</w:t>
            </w:r>
          </w:p>
        </w:tc>
        <w:tc>
          <w:tcPr>
            <w:tcW w:type="dxa" w:w="3078"/>
            <w:tcMar>
              <w:top w:type="dxa" w:w="70"/>
              <w:left w:type="dxa" w:w="100"/>
              <w:bottom w:type="dxa" w:w="70"/>
              <w:right w:type="dxa" w:w="100"/>
            </w:tcMar>
            <w:vAlign w:val="top"/>
          </w:tcPr>
          <w:p>
            <w:pPr>
              <w:spacing w:after="0" w:line="252"/>
              <w:jc w:val="left"/>
            </w:pPr>
            <w:r>
              <w:rPr>
                <w:sz w:val="20"/>
                <w:szCs w:val="20"/>
              </w:rPr>
              <w:t xml:space="preserve">Licensed operator for blending and sampling; a new coordinator for the agreements</w:t>
            </w:r>
          </w:p>
        </w:tc>
        <w:tc>
          <w:tcPr>
            <w:tcW w:type="dxa" w:w="2997"/>
            <w:tcMar>
              <w:top w:type="dxa" w:w="70"/>
              <w:left w:type="dxa" w:w="100"/>
              <w:bottom w:type="dxa" w:w="70"/>
              <w:right w:type="dxa" w:w="100"/>
            </w:tcMar>
            <w:vAlign w:val="top"/>
          </w:tcPr>
          <w:p>
            <w:pPr>
              <w:spacing w:after="0" w:line="252"/>
              <w:jc w:val="left"/>
            </w:pPr>
            <w:r>
              <w:rPr>
                <w:sz w:val="20"/>
                <w:szCs w:val="20"/>
              </w:rPr>
              <w:t xml:space="preserve">Blend ratio, samples collected per month, acres under agreement</w:t>
            </w:r>
          </w:p>
        </w:tc>
      </w:tr>
      <w:tr>
        <w:trPr>
          <w:cantSplit/>
        </w:trPr>
        <w:tc>
          <w:tcPr>
            <w:tcW w:type="dxa" w:w="709"/>
            <w:tcMar>
              <w:top w:type="dxa" w:w="70"/>
              <w:left w:type="dxa" w:w="100"/>
              <w:bottom w:type="dxa" w:w="70"/>
              <w:right w:type="dxa" w:w="100"/>
            </w:tcMar>
            <w:vAlign w:val="top"/>
          </w:tcPr>
          <w:p>
            <w:pPr>
              <w:spacing w:after="0" w:line="252"/>
              <w:jc w:val="left"/>
            </w:pPr>
            <w:r>
              <w:rPr>
                <w:sz w:val="20"/>
                <w:szCs w:val="20"/>
              </w:rPr>
              <w:t xml:space="preserve">5</w:t>
            </w:r>
          </w:p>
        </w:tc>
        <w:tc>
          <w:tcPr>
            <w:tcW w:type="dxa" w:w="2256"/>
            <w:tcMar>
              <w:top w:type="dxa" w:w="70"/>
              <w:left w:type="dxa" w:w="100"/>
              <w:bottom w:type="dxa" w:w="70"/>
              <w:right w:type="dxa" w:w="100"/>
            </w:tcMar>
            <w:vAlign w:val="top"/>
          </w:tcPr>
          <w:p>
            <w:pPr>
              <w:spacing w:after="0" w:line="252"/>
              <w:jc w:val="left"/>
            </w:pPr>
            <w:r>
              <w:rPr>
                <w:sz w:val="20"/>
                <w:szCs w:val="20"/>
              </w:rPr>
              <w:t xml:space="preserve">The new tasks exceed current staff hours</w:t>
            </w:r>
          </w:p>
        </w:tc>
        <w:tc>
          <w:tcPr>
            <w:tcW w:type="dxa" w:w="1157"/>
            <w:tcMar>
              <w:top w:type="dxa" w:w="70"/>
              <w:left w:type="dxa" w:w="100"/>
              <w:bottom w:type="dxa" w:w="70"/>
              <w:right w:type="dxa" w:w="100"/>
            </w:tcMar>
            <w:vAlign w:val="top"/>
          </w:tcPr>
          <w:p>
            <w:pPr>
              <w:spacing w:after="0" w:line="252"/>
              <w:jc w:val="left"/>
            </w:pPr>
            <w:r>
              <w:rPr>
                <w:sz w:val="20"/>
                <w:szCs w:val="20"/>
              </w:rPr>
              <w:t xml:space="preserve">→</w:t>
            </w:r>
          </w:p>
        </w:tc>
        <w:tc>
          <w:tcPr>
            <w:tcW w:type="dxa" w:w="3483"/>
            <w:tcMar>
              <w:top w:type="dxa" w:w="70"/>
              <w:left w:type="dxa" w:w="100"/>
              <w:bottom w:type="dxa" w:w="70"/>
              <w:right w:type="dxa" w:w="100"/>
            </w:tcMar>
            <w:vAlign w:val="top"/>
          </w:tcPr>
          <w:p>
            <w:pPr>
              <w:spacing w:after="0" w:line="252"/>
              <w:jc w:val="left"/>
            </w:pPr>
            <w:r>
              <w:rPr>
                <w:sz w:val="20"/>
                <w:szCs w:val="20"/>
              </w:rPr>
              <w:t xml:space="preserve">The district adds about eight operator hours a week and creates a half-time source water protection coordinator rather than adding a full operator position</w:t>
            </w:r>
          </w:p>
        </w:tc>
        <w:tc>
          <w:tcPr>
            <w:tcW w:type="dxa" w:w="3078"/>
            <w:tcMar>
              <w:top w:type="dxa" w:w="70"/>
              <w:left w:type="dxa" w:w="100"/>
              <w:bottom w:type="dxa" w:w="70"/>
              <w:right w:type="dxa" w:w="100"/>
            </w:tcMar>
            <w:vAlign w:val="top"/>
          </w:tcPr>
          <w:p>
            <w:pPr>
              <w:spacing w:after="0" w:line="252"/>
              <w:jc w:val="left"/>
            </w:pPr>
            <w:r>
              <w:rPr>
                <w:sz w:val="20"/>
                <w:szCs w:val="20"/>
              </w:rPr>
              <w:t xml:space="preserve">General manager, with the board approving the position</w:t>
            </w:r>
          </w:p>
        </w:tc>
        <w:tc>
          <w:tcPr>
            <w:tcW w:type="dxa" w:w="2997"/>
            <w:tcMar>
              <w:top w:type="dxa" w:w="70"/>
              <w:left w:type="dxa" w:w="100"/>
              <w:bottom w:type="dxa" w:w="70"/>
              <w:right w:type="dxa" w:w="100"/>
            </w:tcMar>
            <w:vAlign w:val="top"/>
          </w:tcPr>
          <w:p>
            <w:pPr>
              <w:spacing w:after="0" w:line="252"/>
              <w:jc w:val="left"/>
            </w:pPr>
            <w:r>
              <w:rPr>
                <w:sz w:val="20"/>
                <w:szCs w:val="20"/>
              </w:rPr>
              <w:t xml:space="preserve">Staff hours per week by task, and vacancy days per position</w:t>
            </w:r>
          </w:p>
        </w:tc>
      </w:tr>
      <w:tr>
        <w:trPr>
          <w:cantSplit/>
        </w:trPr>
        <w:tc>
          <w:tcPr>
            <w:tcW w:type="dxa" w:w="709"/>
            <w:tcMar>
              <w:top w:type="dxa" w:w="70"/>
              <w:left w:type="dxa" w:w="100"/>
              <w:bottom w:type="dxa" w:w="70"/>
              <w:right w:type="dxa" w:w="100"/>
            </w:tcMar>
            <w:vAlign w:val="top"/>
          </w:tcPr>
          <w:p>
            <w:pPr>
              <w:spacing w:after="0" w:line="252"/>
              <w:jc w:val="left"/>
            </w:pPr>
            <w:r>
              <w:rPr>
                <w:sz w:val="20"/>
                <w:szCs w:val="20"/>
              </w:rPr>
              <w:t xml:space="preserve">6</w:t>
            </w:r>
          </w:p>
        </w:tc>
        <w:tc>
          <w:tcPr>
            <w:tcW w:type="dxa" w:w="2256"/>
            <w:tcMar>
              <w:top w:type="dxa" w:w="70"/>
              <w:left w:type="dxa" w:w="100"/>
              <w:bottom w:type="dxa" w:w="70"/>
              <w:right w:type="dxa" w:w="100"/>
            </w:tcMar>
            <w:vAlign w:val="top"/>
          </w:tcPr>
          <w:p>
            <w:pPr>
              <w:spacing w:after="0" w:line="252"/>
              <w:jc w:val="left"/>
            </w:pPr>
            <w:r>
              <w:rPr>
                <w:sz w:val="20"/>
                <w:szCs w:val="20"/>
              </w:rPr>
              <w:t xml:space="preserve">The new position requires specific qualifications</w:t>
            </w:r>
          </w:p>
        </w:tc>
        <w:tc>
          <w:tcPr>
            <w:tcW w:type="dxa" w:w="1157"/>
            <w:tcMar>
              <w:top w:type="dxa" w:w="70"/>
              <w:left w:type="dxa" w:w="100"/>
              <w:bottom w:type="dxa" w:w="70"/>
              <w:right w:type="dxa" w:w="100"/>
            </w:tcMar>
            <w:vAlign w:val="top"/>
          </w:tcPr>
          <w:p>
            <w:pPr>
              <w:spacing w:after="0" w:line="252"/>
              <w:jc w:val="left"/>
            </w:pPr>
            <w:r>
              <w:rPr>
                <w:sz w:val="20"/>
                <w:szCs w:val="20"/>
              </w:rPr>
              <w:t xml:space="preserve">→</w:t>
            </w:r>
          </w:p>
        </w:tc>
        <w:tc>
          <w:tcPr>
            <w:tcW w:type="dxa" w:w="3483"/>
            <w:tcMar>
              <w:top w:type="dxa" w:w="70"/>
              <w:left w:type="dxa" w:w="100"/>
              <w:bottom w:type="dxa" w:w="70"/>
              <w:right w:type="dxa" w:w="100"/>
            </w:tcMar>
            <w:vAlign w:val="top"/>
          </w:tcPr>
          <w:p>
            <w:pPr>
              <w:spacing w:after="0" w:line="252"/>
              <w:jc w:val="left"/>
            </w:pPr>
            <w:r>
              <w:rPr>
                <w:sz w:val="20"/>
                <w:szCs w:val="20"/>
              </w:rPr>
              <w:t xml:space="preserve">Sampling and blending stay with licensed operators who also hold sampler certification, while the coordinator role calls for agronomy background such as a certified crop adviser credential and experience working with landowners</w:t>
            </w:r>
          </w:p>
        </w:tc>
        <w:tc>
          <w:tcPr>
            <w:tcW w:type="dxa" w:w="3078"/>
            <w:tcMar>
              <w:top w:type="dxa" w:w="70"/>
              <w:left w:type="dxa" w:w="100"/>
              <w:bottom w:type="dxa" w:w="70"/>
              <w:right w:type="dxa" w:w="100"/>
            </w:tcMar>
            <w:vAlign w:val="top"/>
          </w:tcPr>
          <w:p>
            <w:pPr>
              <w:spacing w:after="0" w:line="252"/>
              <w:jc w:val="left"/>
            </w:pPr>
            <w:r>
              <w:rPr>
                <w:sz w:val="20"/>
                <w:szCs w:val="20"/>
              </w:rPr>
              <w:t xml:space="preserve">Human resources, working from the operations manager's task list</w:t>
            </w:r>
          </w:p>
        </w:tc>
        <w:tc>
          <w:tcPr>
            <w:tcW w:type="dxa" w:w="2997"/>
            <w:tcMar>
              <w:top w:type="dxa" w:w="70"/>
              <w:left w:type="dxa" w:w="100"/>
              <w:bottom w:type="dxa" w:w="70"/>
              <w:right w:type="dxa" w:w="100"/>
            </w:tcMar>
            <w:vAlign w:val="top"/>
          </w:tcPr>
          <w:p>
            <w:pPr>
              <w:spacing w:after="0" w:line="252"/>
              <w:jc w:val="left"/>
            </w:pPr>
            <w:r>
              <w:rPr>
                <w:sz w:val="20"/>
                <w:szCs w:val="20"/>
              </w:rPr>
              <w:t xml:space="preserve">Number of staff holding each credential, and credentials expiring within a year</w:t>
            </w:r>
          </w:p>
        </w:tc>
      </w:tr>
      <w:tr>
        <w:trPr>
          <w:cantSplit/>
        </w:trPr>
        <w:tc>
          <w:tcPr>
            <w:tcW w:type="dxa" w:w="709"/>
            <w:tcMar>
              <w:top w:type="dxa" w:w="70"/>
              <w:left w:type="dxa" w:w="100"/>
              <w:bottom w:type="dxa" w:w="70"/>
              <w:right w:type="dxa" w:w="100"/>
            </w:tcMar>
            <w:vAlign w:val="top"/>
          </w:tcPr>
          <w:p>
            <w:pPr>
              <w:spacing w:after="0" w:line="252"/>
              <w:jc w:val="left"/>
            </w:pPr>
            <w:r>
              <w:rPr>
                <w:sz w:val="20"/>
                <w:szCs w:val="20"/>
              </w:rPr>
              <w:t xml:space="preserve">7</w:t>
            </w:r>
          </w:p>
        </w:tc>
        <w:tc>
          <w:tcPr>
            <w:tcW w:type="dxa" w:w="2256"/>
            <w:tcMar>
              <w:top w:type="dxa" w:w="70"/>
              <w:left w:type="dxa" w:w="100"/>
              <w:bottom w:type="dxa" w:w="70"/>
              <w:right w:type="dxa" w:w="100"/>
            </w:tcMar>
            <w:vAlign w:val="top"/>
          </w:tcPr>
          <w:p>
            <w:pPr>
              <w:spacing w:after="0" w:line="252"/>
              <w:jc w:val="left"/>
            </w:pPr>
            <w:r>
              <w:rPr>
                <w:sz w:val="20"/>
                <w:szCs w:val="20"/>
              </w:rPr>
              <w:t xml:space="preserve">Qualified candidates must be recruited or trained</w:t>
            </w:r>
          </w:p>
        </w:tc>
        <w:tc>
          <w:tcPr>
            <w:tcW w:type="dxa" w:w="1157"/>
            <w:tcMar>
              <w:top w:type="dxa" w:w="70"/>
              <w:left w:type="dxa" w:w="100"/>
              <w:bottom w:type="dxa" w:w="70"/>
              <w:right w:type="dxa" w:w="100"/>
            </w:tcMar>
            <w:vAlign w:val="top"/>
          </w:tcPr>
          <w:p>
            <w:pPr>
              <w:spacing w:after="0" w:line="252"/>
              <w:jc w:val="left"/>
            </w:pPr>
            <w:r>
              <w:rPr>
                <w:sz w:val="20"/>
                <w:szCs w:val="20"/>
              </w:rPr>
              <w:t xml:space="preserve">→</w:t>
            </w:r>
          </w:p>
        </w:tc>
        <w:tc>
          <w:tcPr>
            <w:tcW w:type="dxa" w:w="3483"/>
            <w:tcMar>
              <w:top w:type="dxa" w:w="70"/>
              <w:left w:type="dxa" w:w="100"/>
              <w:bottom w:type="dxa" w:w="70"/>
              <w:right w:type="dxa" w:w="100"/>
            </w:tcMar>
            <w:vAlign w:val="top"/>
          </w:tcPr>
          <w:p>
            <w:pPr>
              <w:spacing w:after="0" w:line="252"/>
              <w:jc w:val="left"/>
            </w:pPr>
            <w:r>
              <w:rPr>
                <w:sz w:val="20"/>
                <w:szCs w:val="20"/>
              </w:rPr>
              <w:t xml:space="preserve">The district posts the coordinator role regionally, and offers current operators paid time and exam fees to add sampler certification rather than hiring from outside</w:t>
            </w:r>
          </w:p>
        </w:tc>
        <w:tc>
          <w:tcPr>
            <w:tcW w:type="dxa" w:w="3078"/>
            <w:tcMar>
              <w:top w:type="dxa" w:w="70"/>
              <w:left w:type="dxa" w:w="100"/>
              <w:bottom w:type="dxa" w:w="70"/>
              <w:right w:type="dxa" w:w="100"/>
            </w:tcMar>
            <w:vAlign w:val="top"/>
          </w:tcPr>
          <w:p>
            <w:pPr>
              <w:spacing w:after="0" w:line="252"/>
              <w:jc w:val="left"/>
            </w:pPr>
            <w:r>
              <w:rPr>
                <w:sz w:val="20"/>
                <w:szCs w:val="20"/>
              </w:rPr>
              <w:t xml:space="preserve">Human resources and the operations manager</w:t>
            </w:r>
          </w:p>
        </w:tc>
        <w:tc>
          <w:tcPr>
            <w:tcW w:type="dxa" w:w="2997"/>
            <w:tcMar>
              <w:top w:type="dxa" w:w="70"/>
              <w:left w:type="dxa" w:w="100"/>
              <w:bottom w:type="dxa" w:w="70"/>
              <w:right w:type="dxa" w:w="100"/>
            </w:tcMar>
            <w:vAlign w:val="top"/>
          </w:tcPr>
          <w:p>
            <w:pPr>
              <w:spacing w:after="0" w:line="252"/>
              <w:jc w:val="left"/>
            </w:pPr>
            <w:r>
              <w:rPr>
                <w:sz w:val="20"/>
                <w:szCs w:val="20"/>
              </w:rPr>
              <w:t xml:space="preserve">Applications per posting, and staff completing each certification per year</w:t>
            </w:r>
          </w:p>
        </w:tc>
      </w:tr>
      <w:tr>
        <w:trPr>
          <w:cantSplit/>
        </w:trPr>
        <w:tc>
          <w:tcPr>
            <w:tcW w:type="dxa" w:w="709"/>
            <w:tcMar>
              <w:top w:type="dxa" w:w="70"/>
              <w:left w:type="dxa" w:w="100"/>
              <w:bottom w:type="dxa" w:w="70"/>
              <w:right w:type="dxa" w:w="100"/>
            </w:tcMar>
            <w:vAlign w:val="top"/>
          </w:tcPr>
          <w:p>
            <w:pPr>
              <w:spacing w:after="0" w:line="252"/>
              <w:jc w:val="left"/>
            </w:pPr>
            <w:r>
              <w:rPr>
                <w:sz w:val="20"/>
                <w:szCs w:val="20"/>
              </w:rPr>
              <w:t xml:space="preserve">8</w:t>
            </w:r>
          </w:p>
        </w:tc>
        <w:tc>
          <w:tcPr>
            <w:tcW w:type="dxa" w:w="2256"/>
            <w:tcMar>
              <w:top w:type="dxa" w:w="70"/>
              <w:left w:type="dxa" w:w="100"/>
              <w:bottom w:type="dxa" w:w="70"/>
              <w:right w:type="dxa" w:w="100"/>
            </w:tcMar>
            <w:vAlign w:val="top"/>
          </w:tcPr>
          <w:p>
            <w:pPr>
              <w:spacing w:after="0" w:line="252"/>
              <w:jc w:val="left"/>
            </w:pPr>
            <w:r>
              <w:rPr>
                <w:sz w:val="20"/>
                <w:szCs w:val="20"/>
              </w:rPr>
              <w:t xml:space="preserve">Added staffing and operating cost enters the budget</w:t>
            </w:r>
          </w:p>
        </w:tc>
        <w:tc>
          <w:tcPr>
            <w:tcW w:type="dxa" w:w="1157"/>
            <w:tcMar>
              <w:top w:type="dxa" w:w="70"/>
              <w:left w:type="dxa" w:w="100"/>
              <w:bottom w:type="dxa" w:w="70"/>
              <w:right w:type="dxa" w:w="100"/>
            </w:tcMar>
            <w:vAlign w:val="top"/>
          </w:tcPr>
          <w:p>
            <w:pPr>
              <w:spacing w:after="0" w:line="252"/>
              <w:jc w:val="left"/>
            </w:pPr>
            <w:r>
              <w:rPr>
                <w:sz w:val="20"/>
                <w:szCs w:val="20"/>
              </w:rPr>
              <w:t xml:space="preserve">→</w:t>
            </w:r>
          </w:p>
        </w:tc>
        <w:tc>
          <w:tcPr>
            <w:tcW w:type="dxa" w:w="3483"/>
            <w:tcMar>
              <w:top w:type="dxa" w:w="70"/>
              <w:left w:type="dxa" w:w="100"/>
              <w:bottom w:type="dxa" w:w="70"/>
              <w:right w:type="dxa" w:w="100"/>
            </w:tcMar>
            <w:vAlign w:val="top"/>
          </w:tcPr>
          <w:p>
            <w:pPr>
              <w:spacing w:after="0" w:line="252"/>
              <w:jc w:val="left"/>
            </w:pPr>
            <w:r>
              <w:rPr>
                <w:sz w:val="20"/>
                <w:szCs w:val="20"/>
              </w:rPr>
              <w:t xml:space="preserve">The blending, agreements, and new position are proposed together in the rate study so the board sees the full cost of the response rather than the treatment line alone</w:t>
            </w:r>
          </w:p>
        </w:tc>
        <w:tc>
          <w:tcPr>
            <w:tcW w:type="dxa" w:w="3078"/>
            <w:tcMar>
              <w:top w:type="dxa" w:w="70"/>
              <w:left w:type="dxa" w:w="100"/>
              <w:bottom w:type="dxa" w:w="70"/>
              <w:right w:type="dxa" w:w="100"/>
            </w:tcMar>
            <w:vAlign w:val="top"/>
          </w:tcPr>
          <w:p>
            <w:pPr>
              <w:spacing w:after="0" w:line="252"/>
              <w:jc w:val="left"/>
            </w:pPr>
            <w:r>
              <w:rPr>
                <w:sz w:val="20"/>
                <w:szCs w:val="20"/>
              </w:rPr>
              <w:t xml:space="preserve">District board during the annual budget and rate hearing</w:t>
            </w:r>
          </w:p>
        </w:tc>
        <w:tc>
          <w:tcPr>
            <w:tcW w:type="dxa" w:w="2997"/>
            <w:tcMar>
              <w:top w:type="dxa" w:w="70"/>
              <w:left w:type="dxa" w:w="100"/>
              <w:bottom w:type="dxa" w:w="70"/>
              <w:right w:type="dxa" w:w="100"/>
            </w:tcMar>
            <w:vAlign w:val="top"/>
          </w:tcPr>
          <w:p>
            <w:pPr>
              <w:spacing w:after="0" w:line="252"/>
              <w:jc w:val="left"/>
            </w:pPr>
            <w:r>
              <w:rPr>
                <w:sz w:val="20"/>
                <w:szCs w:val="20"/>
              </w:rPr>
              <w:t xml:space="preserve">Total annual program cost, and cost per million gallons delivered</w:t>
            </w:r>
          </w:p>
        </w:tc>
      </w:tr>
    </w:tbl>
    <w:sectPr>
      <w:footerReference w:type="default" r:id="rId9"/>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Yarrowfield Well Field: From Nitrate Trend to a New Job Description</dc:title>
  <dc:subject>Graphic organizer · Grade 12 · Careers &amp; CTE</dc:subject>
  <dc:creator>Water for Schools</dc:creator>
  <cp:keywords>Graphic organizer, Grade 12, Careers &amp; CTE</cp:keywords>
  <dc:description>A grade 12 careers cause-and-effect chain organizer tracing how a rising nitrate trend at a fictional well field turns into new tasks, roles, credentials, and costs.</dc:description>
  <cp:lastModifiedBy>Water for Schools</cp:lastModifiedBy>
  <cp:revision>1</cp:revision>
  <dcterms:created xsi:type="dcterms:W3CDTF">2026-10-19T16:28:52.251Z</dcterms:created>
  <dcterms:modified xsi:type="dcterms:W3CDTF">2026-10-19T16:28:52.251Z</dcterms:modified>
</cp:coreProperties>
</file>

<file path=docProps/custom.xml><?xml version="1.0" encoding="utf-8"?>
<Properties xmlns="http://schemas.openxmlformats.org/officeDocument/2006/custom-properties" xmlns:vt="http://schemas.openxmlformats.org/officeDocument/2006/docPropsVTypes"/>
</file>