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Quennelford's Two Offers: License Now or Degree First?</w:t>
      </w:r>
    </w:p>
    <w:p>
      <w:pPr>
        <w:keepNext/>
        <w:spacing w:after="160"/>
      </w:pPr>
      <w:r>
        <w:rPr>
          <w:color w:val="5B6B70"/>
          <w:sz w:val="20"/>
          <w:szCs w:val="20"/>
        </w:rPr>
        <w:t xml:space="preserve">Writing prompt · Grade 7 · Careers &amp; CTE</w:t>
      </w:r>
    </w:p>
    <w:p>
      <w:pPr>
        <w:spacing w:after="100" w:line="264"/>
      </w:pPr>
      <w:r>
        <w:rPr>
          <w:i/>
          <w:iCs/>
          <w:color w:val="12333F"/>
          <w:sz w:val="22"/>
          <w:szCs w:val="22"/>
        </w:rPr>
        <w:t xml:space="preserve">A grade 7 argument writing prompt weighing a paid operator trainee job against a two-year environmental technology degree, with an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recommending one training path and support it with evidence.</w:t>
      </w:r>
    </w:p>
    <w:p>
      <w:pPr>
        <w:pStyle w:val="ListParagraph"/>
        <w:keepNext/>
        <w:keepLines/>
        <w:numPr>
          <w:ilvl w:val="0"/>
          <w:numId w:val="2"/>
        </w:numPr>
        <w:spacing w:after="60" w:line="264"/>
        <w:ind w:left="720" w:hanging="360"/>
      </w:pPr>
      <w:r>
        <w:rPr>
          <w:sz w:val="22"/>
          <w:szCs w:val="22"/>
        </w:rPr>
        <w:t xml:space="preserve">Students will acknowledge a counterclaim and answer it with reasoning.</w:t>
      </w:r>
    </w:p>
    <w:p>
      <w:pPr>
        <w:pStyle w:val="ListParagraph"/>
        <w:keepLines/>
        <w:numPr>
          <w:ilvl w:val="0"/>
          <w:numId w:val="2"/>
        </w:numPr>
        <w:spacing w:after="60" w:line="264"/>
        <w:ind w:left="720" w:hanging="360"/>
      </w:pPr>
      <w:r>
        <w:rPr>
          <w:sz w:val="22"/>
          <w:szCs w:val="22"/>
        </w:rPr>
        <w:t xml:space="preserve">Students will describe two legitimate routes into water-sector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write a claim recommending one offer, support it with pay and workforce evidence, and answer the strongest counterclaim rather than ignoring it.</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prompt asks students to weigh how one person's training decision affects her earnings, her employer's staffing, and the community that needs licensed operators.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rebuttal, operator trainee, median pay</w:t>
      </w:r>
    </w:p>
    <w:p>
      <w:pPr>
        <w:pStyle w:val="Heading2"/>
        <w:keepNext/>
        <w:keepLines/>
      </w:pPr>
      <w:r>
        <w:rPr>
          <w:sz w:val="28"/>
          <w:szCs w:val="28"/>
        </w:rPr>
        <w:t xml:space="preserve">Teacher overview</w:t>
      </w:r>
    </w:p>
    <w:p>
      <w:pPr>
        <w:spacing w:after="100" w:line="264"/>
      </w:pPr>
      <w:r>
        <w:rPr>
          <w:sz w:val="22"/>
          <w:szCs w:val="22"/>
        </w:rPr>
        <w:t xml:space="preserve">Seventh graders are close enough to course selection that a decision about training routes is one they can reason about honestly. This prompt gives them a person with two genuine offers and no obviously wrong choice, which gives the counterclaim something real to answer. The writing task asks for a claim, two supported reasons, a fairly stated counterclaim, and a recommendation. Both offers in this prompt lead to licensed, skilled work, so the essay has to argue from the evidence in the background rather than from a general preference for more schooling or for earning sooner.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claim sentence and the counterclaim sentence already drafted for the fictional Quennelford scenario, so writing begins at reason 1. Provide the background table with the pay row and the openings row highlighted in two colors, so evidence can be sorted to reasons before drafting.</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argument recommending the other offer, using the same evidence rules, then to write one paragraph explaining which of their two essays is more convincing and what made the difference.</w:t>
      </w:r>
    </w:p>
    <w:p>
      <w:pPr>
        <w:pStyle w:val="Heading3"/>
        <w:keepNext/>
        <w:keepLines/>
      </w:pPr>
      <w:r>
        <w:rPr>
          <w:sz w:val="24"/>
          <w:szCs w:val="24"/>
        </w:rPr>
        <w:t xml:space="preserve">ELL supports</w:t>
      </w:r>
    </w:p>
    <w:p>
      <w:pPr>
        <w:spacing w:after="100" w:line="264"/>
      </w:pPr>
      <w:r>
        <w:rPr>
          <w:sz w:val="22"/>
          <w:szCs w:val="22"/>
        </w:rPr>
        <w:t xml:space="preserve">Pre-teach claim, counterclaim, rebuttal, trainee, and median with the organizer projected. Allow the organizer to be completed in phrases before drafting. Provide frames such as "Some people would say ___, and that point is fair because ___. Even so, ___."</w:t>
      </w:r>
    </w:p>
    <w:p>
      <w:pPr>
        <w:pStyle w:val="Heading2"/>
        <w:keepNext/>
        <w:keepLines/>
      </w:pPr>
      <w:r>
        <w:rPr>
          <w:sz w:val="28"/>
          <w:szCs w:val="28"/>
        </w:rPr>
        <w:t xml:space="preserve">Extensions</w:t>
      </w:r>
    </w:p>
    <w:p>
      <w:pPr>
        <w:spacing w:after="100" w:line="264"/>
      </w:pPr>
      <w:r>
        <w:rPr>
          <w:sz w:val="22"/>
          <w:szCs w:val="22"/>
        </w:rPr>
        <w:t xml:space="preserve">Ask students to find one job posting from a water utility near them and to note which of the two fictional Quennelford offers it resembles more. Students can then revise their recommendation paragraph using one detail from that real posting.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Quennelford's Two Offers: License Now or Degree First?</w:t>
      </w:r>
    </w:p>
    <w:p>
      <w:pPr>
        <w:keepNext/>
        <w:spacing w:after="160"/>
      </w:pPr>
      <w:r>
        <w:rPr>
          <w:color w:val="5B6B70"/>
          <w:sz w:val="20"/>
          <w:szCs w:val="20"/>
        </w:rPr>
        <w:t xml:space="preserve">Grade 7 · Careers &amp; CTE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Rosalind is a fictional high school senior in the fictional town of Quennelford. She has two offers, and she has to answer both by the end of May. Every detail about Rosalind and Quennelford was invented for this assignment.</w:t>
      </w:r>
    </w:p>
    <w:p>
      <w:pPr>
        <w:spacing w:after="120" w:line="276"/>
      </w:pPr>
      <w:r>
        <w:rPr>
          <w:b/>
          <w:bCs/>
          <w:sz w:val="22"/>
          <w:szCs w:val="22"/>
        </w:rPr>
        <w:t xml:space="preserve">Offer A: operator trainee.</w:t>
      </w:r>
      <w:r>
        <w:rPr>
          <w:sz w:val="22"/>
          <w:szCs w:val="22"/>
        </w:rPr>
        <w:t xml:space="preserve"> The Quennelford Regional Water District would hire Rosalind in July. She would work beside licensed operators, learn the plant, and log the hours her state requires before the operator exam. Pay starts at $20.50 an hour and rises to $27.00 an hour once she passes the first license exam. The district pays the exam fee and gives her two paid study hours a week. The job includes rotating shifts, which means some nights and some weekends.</w:t>
      </w:r>
    </w:p>
    <w:p>
      <w:pPr>
        <w:spacing w:after="120" w:line="276"/>
      </w:pPr>
      <w:r>
        <w:rPr>
          <w:b/>
          <w:bCs/>
          <w:sz w:val="22"/>
          <w:szCs w:val="22"/>
        </w:rPr>
        <w:t xml:space="preserve">Offer B: two-year degree with a lab job.</w:t>
      </w:r>
      <w:r>
        <w:rPr>
          <w:sz w:val="22"/>
          <w:szCs w:val="22"/>
        </w:rPr>
        <w:t xml:space="preserve"> Ladbrook Community College would enroll Rosalind in a two-year environmental technology program. The Quennelford district would also hire her part time in its laboratory at $16.00 an hour for about 15 hours a week during the school year. A scholarship covers part of the tuition, and Rosalind would pay the rest. The degree opens laboratory analyst and instrument technician jobs, and its credits transfer toward a four-year engineering degree later.</w:t>
      </w:r>
    </w:p>
    <w:p>
      <w:pPr>
        <w:keepNext/>
        <w:keepLines/>
        <w:spacing w:after="120" w:line="276"/>
      </w:pPr>
      <w:r>
        <w:rPr>
          <w:b/>
          <w:bCs/>
          <w:sz w:val="22"/>
          <w:szCs w:val="22"/>
        </w:rPr>
        <w:t xml:space="preserve">What published data says.</w:t>
      </w:r>
      <w:r>
        <w:rPr>
          <w:sz w:val="22"/>
          <w:szCs w:val="22"/>
        </w:rPr>
        <w:t xml:space="preserve"> The figures below are national and describe operators specifically, not every job in the water sector.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79"/>
        <w:gridCol w:w="7501"/>
      </w:tblGrid>
      <w:tr>
        <w:trPr>
          <w:cantSplit/>
          <w:tblHeader/>
        </w:trPr>
        <w:tc>
          <w:tcPr>
            <w:tcW w:type="dxa" w:w="25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75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data shows</w:t>
            </w:r>
          </w:p>
        </w:tc>
      </w:tr>
      <w:tr>
        <w:trPr>
          <w:cantSplit/>
        </w:trPr>
        <w:tc>
          <w:tcPr>
            <w:tcW w:type="dxa" w:w="2579"/>
            <w:tcMar>
              <w:top w:type="dxa" w:w="70"/>
              <w:left w:type="dxa" w:w="100"/>
              <w:bottom w:type="dxa" w:w="70"/>
              <w:right w:type="dxa" w:w="100"/>
            </w:tcMar>
            <w:vAlign w:val="top"/>
          </w:tcPr>
          <w:p>
            <w:pPr>
              <w:keepNext/>
              <w:spacing w:after="0" w:line="252"/>
              <w:jc w:val="left"/>
            </w:pPr>
            <w:r>
              <w:rPr>
                <w:sz w:val="22"/>
                <w:szCs w:val="22"/>
              </w:rPr>
              <w:t xml:space="preserve">How many people do this work?</w:t>
            </w:r>
          </w:p>
        </w:tc>
        <w:tc>
          <w:tcPr>
            <w:tcW w:type="dxa" w:w="7501"/>
            <w:tcMar>
              <w:top w:type="dxa" w:w="70"/>
              <w:left w:type="dxa" w:w="100"/>
              <w:bottom w:type="dxa" w:w="70"/>
              <w:right w:type="dxa" w:w="100"/>
            </w:tcMar>
            <w:vAlign w:val="top"/>
          </w:tcPr>
          <w:p>
            <w:pPr>
              <w:keepNext/>
              <w:spacing w:after="0" w:line="252"/>
              <w:jc w:val="left"/>
            </w:pPr>
            <w:r>
              <w:rPr>
                <w:sz w:val="22"/>
                <w:szCs w:val="22"/>
              </w:rPr>
              <w:t xml:space="preserve">The US employed about 131,000 water and wastewater treatment plant and system operators in 2025.</w:t>
            </w:r>
          </w:p>
        </w:tc>
      </w:tr>
      <w:tr>
        <w:trPr>
          <w:cantSplit/>
        </w:trPr>
        <w:tc>
          <w:tcPr>
            <w:tcW w:type="dxa" w:w="2579"/>
            <w:tcMar>
              <w:top w:type="dxa" w:w="70"/>
              <w:left w:type="dxa" w:w="100"/>
              <w:bottom w:type="dxa" w:w="70"/>
              <w:right w:type="dxa" w:w="100"/>
            </w:tcMar>
            <w:vAlign w:val="top"/>
          </w:tcPr>
          <w:p>
            <w:pPr>
              <w:keepNext/>
              <w:spacing w:after="0" w:line="252"/>
              <w:jc w:val="left"/>
            </w:pPr>
            <w:r>
              <w:rPr>
                <w:sz w:val="22"/>
                <w:szCs w:val="22"/>
              </w:rPr>
              <w:t xml:space="preserve">How many jobs open each year?</w:t>
            </w:r>
          </w:p>
        </w:tc>
        <w:tc>
          <w:tcPr>
            <w:tcW w:type="dxa" w:w="7501"/>
            <w:tcMar>
              <w:top w:type="dxa" w:w="70"/>
              <w:left w:type="dxa" w:w="100"/>
              <w:bottom w:type="dxa" w:w="70"/>
              <w:right w:type="dxa" w:w="100"/>
            </w:tcMar>
            <w:vAlign w:val="top"/>
          </w:tcPr>
          <w:p>
            <w:pPr>
              <w:keepNext/>
              <w:spacing w:after="0" w:line="252"/>
              <w:jc w:val="left"/>
            </w:pPr>
            <w:r>
              <w:rPr>
                <w:sz w:val="22"/>
                <w:szCs w:val="22"/>
              </w:rPr>
              <w:t xml:space="preserve">About 10,000 openings are projected each year from 2025 to 2035, all from replacing workers who retire or change careers.</w:t>
            </w:r>
          </w:p>
        </w:tc>
      </w:tr>
      <w:tr>
        <w:trPr>
          <w:cantSplit/>
        </w:trPr>
        <w:tc>
          <w:tcPr>
            <w:tcW w:type="dxa" w:w="2579"/>
            <w:tcMar>
              <w:top w:type="dxa" w:w="70"/>
              <w:left w:type="dxa" w:w="100"/>
              <w:bottom w:type="dxa" w:w="70"/>
              <w:right w:type="dxa" w:w="100"/>
            </w:tcMar>
            <w:vAlign w:val="top"/>
          </w:tcPr>
          <w:p>
            <w:pPr>
              <w:keepNext/>
              <w:spacing w:after="0" w:line="252"/>
              <w:jc w:val="left"/>
            </w:pPr>
            <w:r>
              <w:rPr>
                <w:sz w:val="22"/>
                <w:szCs w:val="22"/>
              </w:rPr>
              <w:t xml:space="preserve">What does the work pay?</w:t>
            </w:r>
          </w:p>
        </w:tc>
        <w:tc>
          <w:tcPr>
            <w:tcW w:type="dxa" w:w="7501"/>
            <w:tcMar>
              <w:top w:type="dxa" w:w="70"/>
              <w:left w:type="dxa" w:w="100"/>
              <w:bottom w:type="dxa" w:w="70"/>
              <w:right w:type="dxa" w:w="100"/>
            </w:tcMar>
            <w:vAlign w:val="top"/>
          </w:tcPr>
          <w:p>
            <w:pPr>
              <w:keepNext/>
              <w:spacing w:after="0" w:line="252"/>
              <w:jc w:val="left"/>
            </w:pPr>
            <w:r>
              <w:rPr>
                <w:sz w:val="22"/>
                <w:szCs w:val="22"/>
              </w:rPr>
              <w:t xml:space="preserve">Median pay was $60,020 per year in May 2025. The lowest tenth earned less than $39,110, and the highest tenth earned more than $91,060.</w:t>
            </w:r>
          </w:p>
        </w:tc>
      </w:tr>
      <w:tr>
        <w:trPr>
          <w:cantSplit/>
        </w:trPr>
        <w:tc>
          <w:tcPr>
            <w:tcW w:type="dxa" w:w="2579"/>
            <w:tcMar>
              <w:top w:type="dxa" w:w="70"/>
              <w:left w:type="dxa" w:w="100"/>
              <w:bottom w:type="dxa" w:w="70"/>
              <w:right w:type="dxa" w:w="100"/>
            </w:tcMar>
            <w:vAlign w:val="top"/>
          </w:tcPr>
          <w:p>
            <w:pPr>
              <w:spacing w:after="0" w:line="252"/>
              <w:jc w:val="left"/>
            </w:pPr>
            <w:r>
              <w:rPr>
                <w:sz w:val="22"/>
                <w:szCs w:val="22"/>
              </w:rPr>
              <w:t xml:space="preserve">What training does it take?</w:t>
            </w:r>
          </w:p>
        </w:tc>
        <w:tc>
          <w:tcPr>
            <w:tcW w:type="dxa" w:w="7501"/>
            <w:tcMar>
              <w:top w:type="dxa" w:w="70"/>
              <w:left w:type="dxa" w:w="100"/>
              <w:bottom w:type="dxa" w:w="70"/>
              <w:right w:type="dxa" w:w="100"/>
            </w:tcMar>
            <w:vAlign w:val="top"/>
          </w:tcPr>
          <w:p>
            <w:pPr>
              <w:spacing w:after="0" w:line="252"/>
              <w:jc w:val="left"/>
            </w:pPr>
            <w:r>
              <w:rPr>
                <w:sz w:val="22"/>
                <w:szCs w:val="22"/>
              </w:rPr>
              <w:t xml:space="preserve">A high school diploma, on-the-job training, and a state license earned by exam. Licenses run in classes tied to plant size and experience.</w:t>
            </w:r>
          </w:p>
        </w:tc>
      </w:tr>
    </w:tbl>
    <w:p>
      <w:pPr>
        <w:spacing w:after="160" w:before="0"/>
      </w:pPr>
    </w:p>
    <w:p>
      <w:pPr>
        <w:spacing w:after="120" w:line="276"/>
      </w:pPr>
      <w:r>
        <w:rPr>
          <w:sz w:val="22"/>
          <w:szCs w:val="22"/>
        </w:rPr>
        <w:t xml:space="preserve">Both routes lead to licensed, skilled work. Neither one closes the other off, because an operator can add a degree later and a graduate can sit for a license.</w:t>
      </w:r>
    </w:p>
    <w:p>
      <w:pPr>
        <w:spacing w:after="120" w:line="276"/>
      </w:pPr>
      <w:r>
        <w:rPr>
          <w:b/>
          <w:bCs/>
          <w:sz w:val="22"/>
          <w:szCs w:val="22"/>
        </w:rPr>
        <w:t xml:space="preserve">Your task.</w:t>
      </w:r>
      <w:r>
        <w:rPr>
          <w:sz w:val="22"/>
          <w:szCs w:val="22"/>
        </w:rPr>
        <w:t xml:space="preserve"> Write an argument essay addressed to Rosalind. Take a position on which offer she should accept. Support your claim with at least three pieces of evidence from the background above. State the strongest argument for the other offer fairly, then explain why your position still holds. End with a clear recommendation.</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at least one sentence in your essay.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073"/>
        <w:gridCol w:w="4344"/>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30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34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073"/>
            <w:tcMar>
              <w:top w:type="dxa" w:w="70"/>
              <w:left w:type="dxa" w:w="100"/>
              <w:bottom w:type="dxa" w:w="70"/>
              <w:right w:type="dxa" w:w="100"/>
            </w:tcMar>
            <w:vAlign w:val="top"/>
          </w:tcPr>
          <w:p>
            <w:pPr>
              <w:spacing w:after="0" w:line="252"/>
              <w:jc w:val="left"/>
            </w:pPr>
            <w:r>
              <w:rPr>
                <w:sz w:val="22"/>
                <w:szCs w:val="22"/>
              </w:rPr>
              <w:t xml:space="preserve">The offer you are recommending, in one sentence Rosalind could act on.</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073"/>
            <w:tcMar>
              <w:top w:type="dxa" w:w="70"/>
              <w:left w:type="dxa" w:w="100"/>
              <w:bottom w:type="dxa" w:w="70"/>
              <w:right w:type="dxa" w:w="100"/>
            </w:tcMar>
            <w:vAlign w:val="top"/>
          </w:tcPr>
          <w:p>
            <w:pPr>
              <w:spacing w:after="0" w:line="252"/>
              <w:jc w:val="left"/>
            </w:pPr>
            <w:r>
              <w:rPr>
                <w:sz w:val="22"/>
                <w:szCs w:val="22"/>
              </w:rPr>
              <w:t xml:space="preserve">Your strongest reason, written as a claim of its own.</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073"/>
            <w:tcMar>
              <w:top w:type="dxa" w:w="70"/>
              <w:left w:type="dxa" w:w="100"/>
              <w:bottom w:type="dxa" w:w="70"/>
              <w:right w:type="dxa" w:w="100"/>
            </w:tcMar>
            <w:vAlign w:val="top"/>
          </w:tcPr>
          <w:p>
            <w:pPr>
              <w:spacing w:after="0" w:line="252"/>
              <w:jc w:val="left"/>
            </w:pPr>
            <w:r>
              <w:rPr>
                <w:sz w:val="22"/>
                <w:szCs w:val="22"/>
              </w:rPr>
              <w:t xml:space="preserve">The exact figure or offer detail that supports reason 1, restated accurately.</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073"/>
            <w:tcMar>
              <w:top w:type="dxa" w:w="70"/>
              <w:left w:type="dxa" w:w="100"/>
              <w:bottom w:type="dxa" w:w="70"/>
              <w:right w:type="dxa" w:w="100"/>
            </w:tcMar>
            <w:vAlign w:val="top"/>
          </w:tcPr>
          <w:p>
            <w:pPr>
              <w:spacing w:after="0" w:line="252"/>
              <w:jc w:val="left"/>
            </w:pPr>
            <w:r>
              <w:rPr>
                <w:sz w:val="22"/>
                <w:szCs w:val="22"/>
              </w:rPr>
              <w:t xml:space="preserve">A second reason that does not repeat reason 1.</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073"/>
            <w:tcMar>
              <w:top w:type="dxa" w:w="70"/>
              <w:left w:type="dxa" w:w="100"/>
              <w:bottom w:type="dxa" w:w="70"/>
              <w:right w:type="dxa" w:w="100"/>
            </w:tcMar>
            <w:vAlign w:val="top"/>
          </w:tcPr>
          <w:p>
            <w:pPr>
              <w:spacing w:after="0" w:line="252"/>
              <w:jc w:val="left"/>
            </w:pPr>
            <w:r>
              <w:rPr>
                <w:sz w:val="22"/>
                <w:szCs w:val="22"/>
              </w:rPr>
              <w:t xml:space="preserve">The figure or offer detail that supports reason 2.</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073"/>
            <w:tcMar>
              <w:top w:type="dxa" w:w="70"/>
              <w:left w:type="dxa" w:w="100"/>
              <w:bottom w:type="dxa" w:w="70"/>
              <w:right w:type="dxa" w:w="100"/>
            </w:tcMar>
            <w:vAlign w:val="top"/>
          </w:tcPr>
          <w:p>
            <w:pPr>
              <w:spacing w:after="0" w:line="252"/>
              <w:jc w:val="left"/>
            </w:pPr>
            <w:r>
              <w:rPr>
                <w:sz w:val="22"/>
                <w:szCs w:val="22"/>
              </w:rPr>
              <w:t xml:space="preserve">The strongest point for the other offer, stated fairly.</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073"/>
            <w:tcMar>
              <w:top w:type="dxa" w:w="70"/>
              <w:left w:type="dxa" w:w="100"/>
              <w:bottom w:type="dxa" w:w="70"/>
              <w:right w:type="dxa" w:w="100"/>
            </w:tcMar>
            <w:vAlign w:val="top"/>
          </w:tcPr>
          <w:p>
            <w:pPr>
              <w:spacing w:after="0" w:line="252"/>
              <w:jc w:val="left"/>
            </w:pPr>
            <w:r>
              <w:rPr>
                <w:sz w:val="22"/>
                <w:szCs w:val="22"/>
              </w:rPr>
              <w:t xml:space="preserve">Why your recommendation still holds once that point is taken seriously.</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Recommendation</w:t>
            </w:r>
          </w:p>
        </w:tc>
        <w:tc>
          <w:tcPr>
            <w:tcW w:type="dxa" w:w="3073"/>
            <w:tcMar>
              <w:top w:type="dxa" w:w="70"/>
              <w:left w:type="dxa" w:w="100"/>
              <w:bottom w:type="dxa" w:w="70"/>
              <w:right w:type="dxa" w:w="100"/>
            </w:tcMar>
            <w:vAlign w:val="top"/>
          </w:tcPr>
          <w:p>
            <w:pPr>
              <w:spacing w:after="0" w:line="252"/>
              <w:jc w:val="left"/>
            </w:pPr>
            <w:r>
              <w:rPr>
                <w:sz w:val="22"/>
                <w:szCs w:val="22"/>
              </w:rPr>
              <w:t xml:space="preserve">What Rosalind should do, and what her first year would look like.</w:t>
            </w:r>
          </w:p>
        </w:tc>
        <w:tc>
          <w:tcPr>
            <w:tcW w:type="dxa" w:w="434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Quennelford's Two Offers: License Now or Degree First?</w:t>
      </w:r>
    </w:p>
    <w:p>
      <w:pPr>
        <w:keepNext/>
        <w:spacing w:after="160"/>
      </w:pPr>
      <w:r>
        <w:rPr>
          <w:color w:val="5B6B70"/>
          <w:sz w:val="20"/>
          <w:szCs w:val="20"/>
        </w:rPr>
        <w:t xml:space="preserve">Writing prompt · Grade 7 · Careers &amp; CTE</w:t>
      </w:r>
    </w:p>
    <w:p>
      <w:pPr>
        <w:keepNext/>
        <w:keepLines/>
        <w:spacing w:after="100" w:line="264"/>
      </w:pPr>
      <w:r>
        <w:rPr>
          <w:b/>
          <w:bCs/>
          <w:sz w:val="22"/>
          <w:szCs w:val="22"/>
        </w:rPr>
        <w:t xml:space="preserve">Exemplar response</w:t>
      </w:r>
    </w:p>
    <w:p>
      <w:pPr>
        <w:spacing w:after="100" w:line="264"/>
      </w:pPr>
      <w:r>
        <w:rPr>
          <w:sz w:val="22"/>
          <w:szCs w:val="22"/>
        </w:rPr>
        <w:t xml:space="preserve">Rosalind should take Offer A and start as an operator trainee in July. Both offers lead to real careers in the fictional Quennelford district, so the question is which one fits her situation better right now, and the trainee job does.</w:t>
      </w:r>
    </w:p>
    <w:p>
      <w:pPr>
        <w:spacing w:after="100" w:line="264"/>
      </w:pPr>
      <w:r>
        <w:rPr>
          <w:sz w:val="22"/>
          <w:szCs w:val="22"/>
        </w:rPr>
        <w:t xml:space="preserve">The first reason is that Offer A pays her to learn the exact skill the job market is asking for. She would start at $20.50 an hour and move to $27.00 an hour once she passes her first license exam. About 10,000 operator openings are projected each year from 2025 to 2035, and all of them come from replacing workers who retire or change careers rather than from the field growing. Median pay for operators was $60,020 per year in May 2025. Rosalind would be earning while she trains for work that keeps opening up.</w:t>
      </w:r>
    </w:p>
    <w:p>
      <w:pPr>
        <w:spacing w:after="100" w:line="264"/>
      </w:pPr>
      <w:r>
        <w:rPr>
          <w:sz w:val="22"/>
          <w:szCs w:val="22"/>
        </w:rPr>
        <w:t xml:space="preserve">The second reason is that the district is paying for the parts that usually cost a beginner money. It covers the exam fee and gives her two paid study hours a week. A license earned this way costs her time instead of tuition, and the highest tenth of operators earned more than $91,060, so there is room above the starting wage.</w:t>
      </w:r>
    </w:p>
    <w:p>
      <w:pPr>
        <w:spacing w:after="100" w:line="264"/>
      </w:pPr>
      <w:r>
        <w:rPr>
          <w:sz w:val="22"/>
          <w:szCs w:val="22"/>
        </w:rPr>
        <w:t xml:space="preserve">Someone could argue that Offer B is the better long-term choice, and that argument deserves a serious answer. The degree opens laboratory and instrument jobs, its credits transfer toward an engineering degree, and the lab job at $16.00 an hour keeps some money coming in. Two years of college would also give Rosalind a wider set of doors than a single license does. That is true, and if she already wanted to become an engineer, Offer B would be the right call. The reason it does not change my recommendation is that nothing about Offer A closes that door. An operator can enroll in the same program later, often with help from an employer, and she would arrive with plant experience that a classmate would not have.</w:t>
      </w:r>
    </w:p>
    <w:p>
      <w:pPr>
        <w:spacing w:after="100" w:line="264"/>
      </w:pPr>
      <w:r>
        <w:rPr>
          <w:sz w:val="22"/>
          <w:szCs w:val="22"/>
        </w:rPr>
        <w:t xml:space="preserve">Rosalind should accept Offer A, log her hours, and sit for the license exam as soon as she is eligible. Her first year would mean rotating shifts, including nights, which is the real cost of this choice. If she still wants the degree in two years, she can start it with a license, a wage, and a clearer idea of which part of the work she wants to do.</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05"/>
        <w:gridCol w:w="2765"/>
        <w:gridCol w:w="3186"/>
        <w:gridCol w:w="351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The recommendation is unclear or changes during the essay.</w:t>
            </w:r>
          </w:p>
        </w:tc>
        <w:tc>
          <w:tcPr>
            <w:tcW w:type="dxa" w:w="2765"/>
            <w:tcMar>
              <w:top w:type="dxa" w:w="70"/>
              <w:left w:type="dxa" w:w="100"/>
              <w:bottom w:type="dxa" w:w="70"/>
              <w:right w:type="dxa" w:w="100"/>
            </w:tcMar>
            <w:vAlign w:val="top"/>
          </w:tcPr>
          <w:p>
            <w:pPr>
              <w:keepNext/>
              <w:spacing w:after="0" w:line="252"/>
              <w:jc w:val="left"/>
            </w:pPr>
            <w:r>
              <w:rPr>
                <w:sz w:val="20"/>
                <w:szCs w:val="20"/>
              </w:rPr>
              <w:t xml:space="preserve">A recommendation appears but is vague or buried.</w:t>
            </w:r>
          </w:p>
        </w:tc>
        <w:tc>
          <w:tcPr>
            <w:tcW w:type="dxa" w:w="3186"/>
            <w:tcMar>
              <w:top w:type="dxa" w:w="70"/>
              <w:left w:type="dxa" w:w="100"/>
              <w:bottom w:type="dxa" w:w="70"/>
              <w:right w:type="dxa" w:w="100"/>
            </w:tcMar>
            <w:vAlign w:val="top"/>
          </w:tcPr>
          <w:p>
            <w:pPr>
              <w:keepNext/>
              <w:spacing w:after="0" w:line="252"/>
              <w:jc w:val="left"/>
            </w:pPr>
            <w:r>
              <w:rPr>
                <w:sz w:val="20"/>
                <w:szCs w:val="20"/>
              </w:rPr>
              <w:t xml:space="preserve">A clear recommendation is stated early and held throughout.</w:t>
            </w:r>
          </w:p>
        </w:tc>
        <w:tc>
          <w:tcPr>
            <w:tcW w:type="dxa" w:w="3516"/>
            <w:tcMar>
              <w:top w:type="dxa" w:w="70"/>
              <w:left w:type="dxa" w:w="100"/>
              <w:bottom w:type="dxa" w:w="70"/>
              <w:right w:type="dxa" w:w="100"/>
            </w:tcMar>
            <w:vAlign w:val="top"/>
          </w:tcPr>
          <w:p>
            <w:pPr>
              <w:keepNext/>
              <w:spacing w:after="0" w:line="252"/>
              <w:jc w:val="left"/>
            </w:pPr>
            <w:r>
              <w:rPr>
                <w:sz w:val="20"/>
                <w:szCs w:val="20"/>
              </w:rPr>
              <w:t xml:space="preserve">The recommendation is clear, specific enough to act on, and restated at the end with added force.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Fewer than two pieces of evidence appear, or figures are misstated.</w:t>
            </w:r>
          </w:p>
        </w:tc>
        <w:tc>
          <w:tcPr>
            <w:tcW w:type="dxa" w:w="2765"/>
            <w:tcMar>
              <w:top w:type="dxa" w:w="70"/>
              <w:left w:type="dxa" w:w="100"/>
              <w:bottom w:type="dxa" w:w="70"/>
              <w:right w:type="dxa" w:w="100"/>
            </w:tcMar>
            <w:vAlign w:val="top"/>
          </w:tcPr>
          <w:p>
            <w:pPr>
              <w:keepNext/>
              <w:spacing w:after="0" w:line="252"/>
              <w:jc w:val="left"/>
            </w:pPr>
            <w:r>
              <w:rPr>
                <w:sz w:val="20"/>
                <w:szCs w:val="20"/>
              </w:rPr>
              <w:t xml:space="preserve">Two pieces of evidence appear but are dropped in without explanation.</w:t>
            </w:r>
          </w:p>
        </w:tc>
        <w:tc>
          <w:tcPr>
            <w:tcW w:type="dxa" w:w="3186"/>
            <w:tcMar>
              <w:top w:type="dxa" w:w="70"/>
              <w:left w:type="dxa" w:w="100"/>
              <w:bottom w:type="dxa" w:w="70"/>
              <w:right w:type="dxa" w:w="100"/>
            </w:tcMar>
            <w:vAlign w:val="top"/>
          </w:tcPr>
          <w:p>
            <w:pPr>
              <w:keepNext/>
              <w:spacing w:after="0" w:line="252"/>
              <w:jc w:val="left"/>
            </w:pPr>
            <w:r>
              <w:rPr>
                <w:sz w:val="20"/>
                <w:szCs w:val="20"/>
              </w:rPr>
              <w:t xml:space="preserve">At least three accurate pieces of evidence appear, each tied to the reason it supports.</w:t>
            </w:r>
          </w:p>
        </w:tc>
        <w:tc>
          <w:tcPr>
            <w:tcW w:type="dxa" w:w="3516"/>
            <w:tcMar>
              <w:top w:type="dxa" w:w="70"/>
              <w:left w:type="dxa" w:w="100"/>
              <w:bottom w:type="dxa" w:w="70"/>
              <w:right w:type="dxa" w:w="100"/>
            </w:tcMar>
            <w:vAlign w:val="top"/>
          </w:tcPr>
          <w:p>
            <w:pPr>
              <w:keepNext/>
              <w:spacing w:after="0" w:line="252"/>
              <w:jc w:val="left"/>
            </w:pPr>
            <w:r>
              <w:rPr>
                <w:sz w:val="20"/>
                <w:szCs w:val="20"/>
              </w:rPr>
              <w:t xml:space="preserve">Evidence is accurate and explained, including what a national figure can and cannot say about one person's choice.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765"/>
            <w:tcMar>
              <w:top w:type="dxa" w:w="70"/>
              <w:left w:type="dxa" w:w="100"/>
              <w:bottom w:type="dxa" w:w="70"/>
              <w:right w:type="dxa" w:w="100"/>
            </w:tcMar>
            <w:vAlign w:val="top"/>
          </w:tcPr>
          <w:p>
            <w:pPr>
              <w:keepNext/>
              <w:spacing w:after="0" w:line="252"/>
              <w:jc w:val="left"/>
            </w:pPr>
            <w:r>
              <w:rPr>
                <w:sz w:val="20"/>
                <w:szCs w:val="20"/>
              </w:rPr>
              <w:t xml:space="preserve">A counterclaim is named but brushed aside.</w:t>
            </w:r>
          </w:p>
        </w:tc>
        <w:tc>
          <w:tcPr>
            <w:tcW w:type="dxa" w:w="3186"/>
            <w:tcMar>
              <w:top w:type="dxa" w:w="70"/>
              <w:left w:type="dxa" w:w="100"/>
              <w:bottom w:type="dxa" w:w="70"/>
              <w:right w:type="dxa" w:w="100"/>
            </w:tcMar>
            <w:vAlign w:val="top"/>
          </w:tcPr>
          <w:p>
            <w:pPr>
              <w:keepNext/>
              <w:spacing w:after="0" w:line="252"/>
              <w:jc w:val="left"/>
            </w:pPr>
            <w:r>
              <w:rPr>
                <w:sz w:val="20"/>
                <w:szCs w:val="20"/>
              </w:rPr>
              <w:t xml:space="preserve">The counterclaim is stated fairly and answered with a reason.</w:t>
            </w:r>
          </w:p>
        </w:tc>
        <w:tc>
          <w:tcPr>
            <w:tcW w:type="dxa" w:w="3516"/>
            <w:tcMar>
              <w:top w:type="dxa" w:w="70"/>
              <w:left w:type="dxa" w:w="100"/>
              <w:bottom w:type="dxa" w:w="70"/>
              <w:right w:type="dxa" w:w="100"/>
            </w:tcMar>
            <w:vAlign w:val="top"/>
          </w:tcPr>
          <w:p>
            <w:pPr>
              <w:keepNext/>
              <w:spacing w:after="0" w:line="252"/>
              <w:jc w:val="left"/>
            </w:pPr>
            <w:r>
              <w:rPr>
                <w:sz w:val="20"/>
                <w:szCs w:val="20"/>
              </w:rPr>
              <w:t xml:space="preserve">The counterclaim is stated at its strongest, granted where it is right, and answered with a distinction the reader can follow.</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705"/>
            <w:tcMar>
              <w:top w:type="dxa" w:w="70"/>
              <w:left w:type="dxa" w:w="100"/>
              <w:bottom w:type="dxa" w:w="70"/>
              <w:right w:type="dxa" w:w="100"/>
            </w:tcMar>
            <w:vAlign w:val="top"/>
          </w:tcPr>
          <w:p>
            <w:pPr>
              <w:spacing w:after="0" w:line="252"/>
              <w:jc w:val="left"/>
            </w:pPr>
            <w:r>
              <w:rPr>
                <w:sz w:val="20"/>
                <w:szCs w:val="20"/>
              </w:rPr>
              <w:t xml:space="preserve">Paragraphs are missing or ideas run together, and errors interrupt meaning.</w:t>
            </w:r>
          </w:p>
        </w:tc>
        <w:tc>
          <w:tcPr>
            <w:tcW w:type="dxa" w:w="2765"/>
            <w:tcMar>
              <w:top w:type="dxa" w:w="70"/>
              <w:left w:type="dxa" w:w="100"/>
              <w:bottom w:type="dxa" w:w="70"/>
              <w:right w:type="dxa" w:w="100"/>
            </w:tcMar>
            <w:vAlign w:val="top"/>
          </w:tcPr>
          <w:p>
            <w:pPr>
              <w:spacing w:after="0" w:line="252"/>
              <w:jc w:val="left"/>
            </w:pPr>
            <w:r>
              <w:rPr>
                <w:sz w:val="20"/>
                <w:szCs w:val="20"/>
              </w:rPr>
              <w:t xml:space="preserve">Some structure is visible, and errors are noticeable but meaning survives.</w:t>
            </w:r>
          </w:p>
        </w:tc>
        <w:tc>
          <w:tcPr>
            <w:tcW w:type="dxa" w:w="3186"/>
            <w:tcMar>
              <w:top w:type="dxa" w:w="70"/>
              <w:left w:type="dxa" w:w="100"/>
              <w:bottom w:type="dxa" w:w="70"/>
              <w:right w:type="dxa" w:w="100"/>
            </w:tcMar>
            <w:vAlign w:val="top"/>
          </w:tcPr>
          <w:p>
            <w:pPr>
              <w:spacing w:after="0" w:line="252"/>
              <w:jc w:val="left"/>
            </w:pPr>
            <w:r>
              <w:rPr>
                <w:sz w:val="20"/>
                <w:szCs w:val="20"/>
              </w:rPr>
              <w:t xml:space="preserve">Clear paragraphs, transitions between reasons, and few errors.</w:t>
            </w:r>
          </w:p>
        </w:tc>
        <w:tc>
          <w:tcPr>
            <w:tcW w:type="dxa" w:w="3516"/>
            <w:tcMar>
              <w:top w:type="dxa" w:w="70"/>
              <w:left w:type="dxa" w:w="100"/>
              <w:bottom w:type="dxa" w:w="70"/>
              <w:right w:type="dxa" w:w="100"/>
            </w:tcMar>
            <w:vAlign w:val="top"/>
          </w:tcPr>
          <w:p>
            <w:pPr>
              <w:spacing w:after="0" w:line="252"/>
              <w:jc w:val="left"/>
            </w:pPr>
            <w:r>
              <w:rPr>
                <w:sz w:val="20"/>
                <w:szCs w:val="20"/>
              </w:rPr>
              <w:t xml:space="preserve">Purposeful order, smooth transitions, a respectful tone toward both paths, and clean conventions.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Quennelford's Two Offers: License Now or Degree First?</dc:title>
  <dc:subject>Writing prompt · Grade 7 · Careers &amp; CTE</dc:subject>
  <dc:creator>Water for Schools</dc:creator>
  <cp:keywords>Writing prompt, Grade 7, Careers &amp; CTE</cp:keywords>
  <dc:description>A grade 7 argument writing prompt weighing a paid operator trainee job against a two-year environmental technology degree, with an organizer, exemplar, and rubric.</dc:description>
  <cp:lastModifiedBy>Water for Schools</cp:lastModifiedBy>
  <cp:revision>1</cp:revision>
  <dcterms:created xsi:type="dcterms:W3CDTF">2026-10-19T16:28:53.454Z</dcterms:created>
  <dcterms:modified xsi:type="dcterms:W3CDTF">2026-10-19T16:28:53.454Z</dcterms:modified>
</cp:coreProperties>
</file>

<file path=docProps/custom.xml><?xml version="1.0" encoding="utf-8"?>
<Properties xmlns="http://schemas.openxmlformats.org/officeDocument/2006/custom-properties" xmlns:vt="http://schemas.openxmlformats.org/officeDocument/2006/docPropsVTypes"/>
</file>