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Pennister Valley Add a Water Technology Pathway?</w:t>
      </w:r>
    </w:p>
    <w:p>
      <w:pPr>
        <w:keepNext/>
        <w:spacing w:after="160"/>
      </w:pPr>
      <w:r>
        <w:rPr>
          <w:color w:val="5B6B70"/>
          <w:sz w:val="20"/>
          <w:szCs w:val="20"/>
        </w:rPr>
        <w:t xml:space="preserve">Writing prompt · Grade 8 · Careers &amp; CTE</w:t>
      </w:r>
    </w:p>
    <w:p>
      <w:pPr>
        <w:spacing w:after="100" w:line="264"/>
      </w:pPr>
      <w:r>
        <w:rPr>
          <w:i/>
          <w:iCs/>
          <w:color w:val="12333F"/>
          <w:sz w:val="22"/>
          <w:szCs w:val="22"/>
        </w:rPr>
        <w:t xml:space="preserve">A grade 8 argument writing prompt in which students advise a fictional school board on adding a water technology pathway, with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with a clear claim, reasons, and relevant evidence.</w:t>
      </w:r>
    </w:p>
    <w:p>
      <w:pPr>
        <w:pStyle w:val="ListParagraph"/>
        <w:keepNext/>
        <w:keepLines/>
        <w:numPr>
          <w:ilvl w:val="0"/>
          <w:numId w:val="2"/>
        </w:numPr>
        <w:spacing w:after="60" w:line="264"/>
        <w:ind w:left="720" w:hanging="360"/>
      </w:pPr>
      <w:r>
        <w:rPr>
          <w:sz w:val="22"/>
          <w:szCs w:val="22"/>
        </w:rPr>
        <w:t xml:space="preserve">Students will acknowledge a counterclaim and respond to it with reasoning.</w:t>
      </w:r>
    </w:p>
    <w:p>
      <w:pPr>
        <w:pStyle w:val="ListParagraph"/>
        <w:keepLines/>
        <w:numPr>
          <w:ilvl w:val="0"/>
          <w:numId w:val="2"/>
        </w:numPr>
        <w:spacing w:after="60" w:line="264"/>
        <w:ind w:left="720" w:hanging="360"/>
      </w:pPr>
      <w:r>
        <w:rPr>
          <w:sz w:val="22"/>
          <w:szCs w:val="22"/>
        </w:rPr>
        <w:t xml:space="preserve">Students will use workforce and wage data to support a recommendation about a school program.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for or against the pathway, support the claim with workforce and wage evidence, and acknowledge the automotive waitlist as a counterclaim.</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prompt asks students to weigh how the district's program decision affects students, local employers, and the community that depends on staffed water systems.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evidence, pathway, licensed operator, median pay</w:t>
      </w:r>
    </w:p>
    <w:p>
      <w:pPr>
        <w:pStyle w:val="Heading2"/>
        <w:keepNext/>
        <w:keepLines/>
      </w:pPr>
      <w:r>
        <w:rPr>
          <w:sz w:val="28"/>
          <w:szCs w:val="28"/>
        </w:rPr>
        <w:t xml:space="preserve">Teacher overview</w:t>
      </w:r>
    </w:p>
    <w:p>
      <w:pPr>
        <w:spacing w:after="100" w:line="264"/>
      </w:pPr>
      <w:r>
        <w:rPr>
          <w:sz w:val="22"/>
          <w:szCs w:val="22"/>
        </w:rPr>
        <w:t xml:space="preserve">Eighth graders are choosing high school courses at roughly the moment a career and technical center decides which programs to run, so a school board's program decision is an argument they have standing to enter. This prompt gives students a genuine tension: a career center with one open lab bay, a water utility facing retirements, and an automotive program with students already waiting for seats. The evidence supplied is real workforce and wage data for water operators, which students must weigh against a local claim that has real merit. The task asks for a claim, two supported reasons, and an honest response to the counterclaim rather than a dismissal of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claim sentence and the counterclaim sentence already written, so drafting begins at reason 1. Provide a highlighted version of the background table showing which rows answer "are there jobs" and which answer "what does it pay," so students can sort evidence to reasons before writing.</w:t>
      </w:r>
    </w:p>
    <w:p>
      <w:pPr>
        <w:pStyle w:val="Heading3"/>
        <w:keepNext/>
        <w:keepLines/>
      </w:pPr>
      <w:r>
        <w:rPr>
          <w:sz w:val="24"/>
          <w:szCs w:val="24"/>
        </w:rPr>
        <w:t xml:space="preserve">Extension</w:t>
      </w:r>
    </w:p>
    <w:p>
      <w:pPr>
        <w:spacing w:after="100" w:line="264"/>
      </w:pPr>
      <w:r>
        <w:rPr>
          <w:sz w:val="22"/>
          <w:szCs w:val="22"/>
        </w:rPr>
        <w:t xml:space="preserve">Ask students to write a second, shorter argument from the point of view of the automotive teacher, using the same evidence rules, then explain in a paragraph which of their two essays is more convincing and why.</w:t>
      </w:r>
    </w:p>
    <w:p>
      <w:pPr>
        <w:pStyle w:val="Heading3"/>
        <w:keepNext/>
        <w:keepLines/>
      </w:pPr>
      <w:r>
        <w:rPr>
          <w:sz w:val="24"/>
          <w:szCs w:val="24"/>
        </w:rPr>
        <w:t xml:space="preserve">ELL supports</w:t>
      </w:r>
    </w:p>
    <w:p>
      <w:pPr>
        <w:spacing w:after="100" w:line="264"/>
      </w:pPr>
      <w:r>
        <w:rPr>
          <w:sz w:val="22"/>
          <w:szCs w:val="22"/>
        </w:rPr>
        <w:t xml:space="preserve">Pre-teach "claim," "counterclaim," "rebuttal," "median," and "pathway" with the organizer projected. Allow students to complete the organizer in phrases before drafting, and provide sentence frames such as "Some people argue that ___, and that point is fair because ___. Even so, ___."</w:t>
      </w:r>
    </w:p>
    <w:p>
      <w:pPr>
        <w:pStyle w:val="Heading2"/>
        <w:keepNext/>
        <w:keepLines/>
      </w:pPr>
      <w:r>
        <w:rPr>
          <w:sz w:val="28"/>
          <w:szCs w:val="28"/>
        </w:rPr>
        <w:t xml:space="preserve">Extensions</w:t>
      </w:r>
    </w:p>
    <w:p>
      <w:pPr>
        <w:spacing w:after="100" w:line="264"/>
      </w:pPr>
      <w:r>
        <w:rPr>
          <w:sz w:val="22"/>
          <w:szCs w:val="22"/>
        </w:rPr>
        <w:t xml:space="preserve">Have students find whether a career and technical center near them offers a water or environmental technology program, and what a nearby utility lists on its current job openings page. Students can then revise their recommendation paragraph using one local detail they found.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Pennister Valley Add a Water Technology Pathway?</w:t>
      </w:r>
    </w:p>
    <w:p>
      <w:pPr>
        <w:keepNext/>
        <w:spacing w:after="160"/>
      </w:pPr>
      <w:r>
        <w:rPr>
          <w:color w:val="5B6B70"/>
          <w:sz w:val="20"/>
          <w:szCs w:val="20"/>
        </w:rPr>
        <w:t xml:space="preserve">Grade 8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Pennister Valley is a fictional school district. Its career and technical center has one open lab bay for next school year and can add exactly one new program. The board is choosing between a water technology pathway and an expansion of the automotive program, which currently has 22 students on a waitlist. Every detail about the district in this section was invented for this assignment.</w:t>
      </w:r>
    </w:p>
    <w:p>
      <w:pPr>
        <w:spacing w:after="120" w:line="276"/>
      </w:pPr>
      <w:r>
        <w:rPr>
          <w:sz w:val="22"/>
          <w:szCs w:val="22"/>
        </w:rPr>
        <w:t xml:space="preserve">The Pennister Valley Water Authority, the district's local utility, supports the water pathway. It employs 14 licensed operators, and six of them can retire within eight years. The utility has offered to host two paid summer internships each year and to send an operator to teach one afternoon a week.</w:t>
      </w:r>
    </w:p>
    <w:p>
      <w:pPr>
        <w:keepNext/>
        <w:keepLines/>
        <w:spacing w:after="120" w:line="276"/>
      </w:pPr>
      <w:r>
        <w:rPr>
          <w:sz w:val="22"/>
          <w:szCs w:val="22"/>
        </w:rPr>
        <w:t xml:space="preserve">Here is what published national data says about the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68"/>
        <w:gridCol w:w="7512"/>
      </w:tblGrid>
      <w:tr>
        <w:trPr>
          <w:cantSplit/>
          <w:tblHeader/>
        </w:trPr>
        <w:tc>
          <w:tcPr>
            <w:tcW w:type="dxa" w:w="25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75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data shows</w:t>
            </w:r>
          </w:p>
        </w:tc>
      </w:tr>
      <w:tr>
        <w:trPr>
          <w:cantSplit/>
        </w:trPr>
        <w:tc>
          <w:tcPr>
            <w:tcW w:type="dxa" w:w="2568"/>
            <w:tcMar>
              <w:top w:type="dxa" w:w="70"/>
              <w:left w:type="dxa" w:w="100"/>
              <w:bottom w:type="dxa" w:w="70"/>
              <w:right w:type="dxa" w:w="100"/>
            </w:tcMar>
            <w:vAlign w:val="top"/>
          </w:tcPr>
          <w:p>
            <w:pPr>
              <w:keepNext/>
              <w:spacing w:after="0" w:line="252"/>
              <w:jc w:val="left"/>
            </w:pPr>
            <w:r>
              <w:rPr>
                <w:sz w:val="22"/>
                <w:szCs w:val="22"/>
              </w:rPr>
              <w:t xml:space="preserve">How many people do this work?</w:t>
            </w:r>
          </w:p>
        </w:tc>
        <w:tc>
          <w:tcPr>
            <w:tcW w:type="dxa" w:w="7512"/>
            <w:tcMar>
              <w:top w:type="dxa" w:w="70"/>
              <w:left w:type="dxa" w:w="100"/>
              <w:bottom w:type="dxa" w:w="70"/>
              <w:right w:type="dxa" w:w="100"/>
            </w:tcMar>
            <w:vAlign w:val="top"/>
          </w:tcPr>
          <w:p>
            <w:pPr>
              <w:keepNext/>
              <w:spacing w:after="0" w:line="252"/>
              <w:jc w:val="left"/>
            </w:pPr>
            <w:r>
              <w:rPr>
                <w:sz w:val="22"/>
                <w:szCs w:val="22"/>
              </w:rPr>
              <w:t xml:space="preserve">The US employed about 131,000 water and wastewater treatment plant and system operators in 2025.</w:t>
            </w:r>
          </w:p>
        </w:tc>
      </w:tr>
      <w:tr>
        <w:trPr>
          <w:cantSplit/>
        </w:trPr>
        <w:tc>
          <w:tcPr>
            <w:tcW w:type="dxa" w:w="2568"/>
            <w:tcMar>
              <w:top w:type="dxa" w:w="70"/>
              <w:left w:type="dxa" w:w="100"/>
              <w:bottom w:type="dxa" w:w="70"/>
              <w:right w:type="dxa" w:w="100"/>
            </w:tcMar>
            <w:vAlign w:val="top"/>
          </w:tcPr>
          <w:p>
            <w:pPr>
              <w:keepNext/>
              <w:spacing w:after="0" w:line="252"/>
              <w:jc w:val="left"/>
            </w:pPr>
            <w:r>
              <w:rPr>
                <w:sz w:val="22"/>
                <w:szCs w:val="22"/>
              </w:rPr>
              <w:t xml:space="preserve">How many jobs open each year?</w:t>
            </w:r>
          </w:p>
        </w:tc>
        <w:tc>
          <w:tcPr>
            <w:tcW w:type="dxa" w:w="7512"/>
            <w:tcMar>
              <w:top w:type="dxa" w:w="70"/>
              <w:left w:type="dxa" w:w="100"/>
              <w:bottom w:type="dxa" w:w="70"/>
              <w:right w:type="dxa" w:w="100"/>
            </w:tcMar>
            <w:vAlign w:val="top"/>
          </w:tcPr>
          <w:p>
            <w:pPr>
              <w:keepNext/>
              <w:spacing w:after="0" w:line="252"/>
              <w:jc w:val="left"/>
            </w:pPr>
            <w:r>
              <w:rPr>
                <w:sz w:val="22"/>
                <w:szCs w:val="22"/>
              </w:rPr>
              <w:t xml:space="preserve">About 10,000 openings for these operators are projected each year from 2025 to 2035, all from replacing workers who retire or change careers, even though total employment is projected to decline 6 percent. The figure covers operators only, not engineers, laboratory staff, or other water jobs.</w:t>
            </w:r>
          </w:p>
        </w:tc>
      </w:tr>
      <w:tr>
        <w:trPr>
          <w:cantSplit/>
        </w:trPr>
        <w:tc>
          <w:tcPr>
            <w:tcW w:type="dxa" w:w="2568"/>
            <w:tcMar>
              <w:top w:type="dxa" w:w="70"/>
              <w:left w:type="dxa" w:w="100"/>
              <w:bottom w:type="dxa" w:w="70"/>
              <w:right w:type="dxa" w:w="100"/>
            </w:tcMar>
            <w:vAlign w:val="top"/>
          </w:tcPr>
          <w:p>
            <w:pPr>
              <w:keepNext/>
              <w:spacing w:after="0" w:line="252"/>
              <w:jc w:val="left"/>
            </w:pPr>
            <w:r>
              <w:rPr>
                <w:sz w:val="22"/>
                <w:szCs w:val="22"/>
              </w:rPr>
              <w:t xml:space="preserve">What does the work pay?</w:t>
            </w:r>
          </w:p>
        </w:tc>
        <w:tc>
          <w:tcPr>
            <w:tcW w:type="dxa" w:w="7512"/>
            <w:tcMar>
              <w:top w:type="dxa" w:w="70"/>
              <w:left w:type="dxa" w:w="100"/>
              <w:bottom w:type="dxa" w:w="70"/>
              <w:right w:type="dxa" w:w="100"/>
            </w:tcMar>
            <w:vAlign w:val="top"/>
          </w:tcPr>
          <w:p>
            <w:pPr>
              <w:keepNext/>
              <w:spacing w:after="0" w:line="252"/>
              <w:jc w:val="left"/>
            </w:pPr>
            <w:r>
              <w:rPr>
                <w:sz w:val="22"/>
                <w:szCs w:val="22"/>
              </w:rPr>
              <w:t xml:space="preserve">Median pay was $60,020 per year in May 2025. The lowest tenth earned less than $39,110, and the highest tenth earned more than $91,060.</w:t>
            </w:r>
          </w:p>
        </w:tc>
      </w:tr>
      <w:tr>
        <w:trPr>
          <w:cantSplit/>
        </w:trPr>
        <w:tc>
          <w:tcPr>
            <w:tcW w:type="dxa" w:w="2568"/>
            <w:tcMar>
              <w:top w:type="dxa" w:w="70"/>
              <w:left w:type="dxa" w:w="100"/>
              <w:bottom w:type="dxa" w:w="70"/>
              <w:right w:type="dxa" w:w="100"/>
            </w:tcMar>
            <w:vAlign w:val="top"/>
          </w:tcPr>
          <w:p>
            <w:pPr>
              <w:keepNext/>
              <w:spacing w:after="0" w:line="252"/>
              <w:jc w:val="left"/>
            </w:pPr>
            <w:r>
              <w:rPr>
                <w:sz w:val="22"/>
                <w:szCs w:val="22"/>
              </w:rPr>
              <w:t xml:space="preserve">Who is doing the work now?</w:t>
            </w:r>
          </w:p>
        </w:tc>
        <w:tc>
          <w:tcPr>
            <w:tcW w:type="dxa" w:w="7512"/>
            <w:tcMar>
              <w:top w:type="dxa" w:w="70"/>
              <w:left w:type="dxa" w:w="100"/>
              <w:bottom w:type="dxa" w:w="70"/>
              <w:right w:type="dxa" w:w="100"/>
            </w:tcMar>
            <w:vAlign w:val="top"/>
          </w:tcPr>
          <w:p>
            <w:pPr>
              <w:keepNext/>
              <w:spacing w:after="0" w:line="252"/>
              <w:jc w:val="left"/>
            </w:pPr>
            <w:r>
              <w:rPr>
                <w:sz w:val="22"/>
                <w:szCs w:val="22"/>
              </w:rPr>
              <w:t xml:space="preserve">EPA estimates that roughly one-third of the water workforce is eligible to retire within 10 years. In 2016, only about 10 percent of water workers were 24 or younger, compared with 12.5 percent of all U.S. workers.</w:t>
            </w:r>
          </w:p>
        </w:tc>
      </w:tr>
      <w:tr>
        <w:trPr>
          <w:cantSplit/>
        </w:trPr>
        <w:tc>
          <w:tcPr>
            <w:tcW w:type="dxa" w:w="2568"/>
            <w:tcMar>
              <w:top w:type="dxa" w:w="70"/>
              <w:left w:type="dxa" w:w="100"/>
              <w:bottom w:type="dxa" w:w="70"/>
              <w:right w:type="dxa" w:w="100"/>
            </w:tcMar>
            <w:vAlign w:val="top"/>
          </w:tcPr>
          <w:p>
            <w:pPr>
              <w:spacing w:after="0" w:line="252"/>
              <w:jc w:val="left"/>
            </w:pPr>
            <w:r>
              <w:rPr>
                <w:sz w:val="22"/>
                <w:szCs w:val="22"/>
              </w:rPr>
              <w:t xml:space="preserve">What training does it take?</w:t>
            </w:r>
          </w:p>
        </w:tc>
        <w:tc>
          <w:tcPr>
            <w:tcW w:type="dxa" w:w="7512"/>
            <w:tcMar>
              <w:top w:type="dxa" w:w="70"/>
              <w:left w:type="dxa" w:w="100"/>
              <w:bottom w:type="dxa" w:w="70"/>
              <w:right w:type="dxa" w:w="100"/>
            </w:tcMar>
            <w:vAlign w:val="top"/>
          </w:tcPr>
          <w:p>
            <w:pPr>
              <w:spacing w:after="0" w:line="252"/>
              <w:jc w:val="left"/>
            </w:pPr>
            <w:r>
              <w:rPr>
                <w:sz w:val="22"/>
                <w:szCs w:val="22"/>
              </w:rPr>
              <w:t xml:space="preserve">A high school diploma, on-the-job training, and a state license earned by exam. Licenses come in classes tied to plant size and experience.</w:t>
            </w:r>
          </w:p>
        </w:tc>
      </w:tr>
    </w:tbl>
    <w:p>
      <w:pPr>
        <w:spacing w:after="160" w:before="0"/>
      </w:pPr>
    </w:p>
    <w:p>
      <w:pPr>
        <w:spacing w:after="120" w:line="276"/>
      </w:pPr>
      <w:r>
        <w:rPr>
          <w:sz w:val="22"/>
          <w:szCs w:val="22"/>
        </w:rPr>
        <w:t xml:space="preserve">The field also includes paths that do go through college. Engineers who design treatment plants hold four-year degrees, and hydrologists often hold graduate degrees. A student can start with a license and add a degree later, or start with a degree.</w:t>
      </w:r>
    </w:p>
    <w:p>
      <w:pPr>
        <w:spacing w:after="120" w:line="276"/>
      </w:pPr>
      <w:r>
        <w:rPr>
          <w:b/>
          <w:bCs/>
          <w:sz w:val="22"/>
          <w:szCs w:val="22"/>
        </w:rPr>
        <w:t xml:space="preserve">Your task.</w:t>
      </w:r>
      <w:r>
        <w:rPr>
          <w:sz w:val="22"/>
          <w:szCs w:val="22"/>
        </w:rPr>
        <w:t xml:space="preserve"> Write an argument essay addressed to the Pennister Valley school board. Take a position on whether the career center should use its open lab bay for a water technology pathway. Support your claim with at least three pieces of evidence from the background above. Acknowledge the strongest argument on the other side and explain why your position still holds. End with a clear recommendation.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73"/>
        <w:gridCol w:w="4344"/>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073"/>
            <w:tcMar>
              <w:top w:type="dxa" w:w="70"/>
              <w:left w:type="dxa" w:w="100"/>
              <w:bottom w:type="dxa" w:w="70"/>
              <w:right w:type="dxa" w:w="100"/>
            </w:tcMar>
            <w:vAlign w:val="top"/>
          </w:tcPr>
          <w:p>
            <w:pPr>
              <w:spacing w:after="0" w:line="252"/>
              <w:jc w:val="left"/>
            </w:pPr>
            <w:r>
              <w:rPr>
                <w:sz w:val="22"/>
                <w:szCs w:val="22"/>
              </w:rPr>
              <w:t xml:space="preserve">The position you are taking, stated in one sentence the board could vote on.</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073"/>
            <w:tcMar>
              <w:top w:type="dxa" w:w="70"/>
              <w:left w:type="dxa" w:w="100"/>
              <w:bottom w:type="dxa" w:w="70"/>
              <w:right w:type="dxa" w:w="100"/>
            </w:tcMar>
            <w:vAlign w:val="top"/>
          </w:tcPr>
          <w:p>
            <w:pPr>
              <w:spacing w:after="0" w:line="252"/>
              <w:jc w:val="left"/>
            </w:pPr>
            <w:r>
              <w:rPr>
                <w:sz w:val="22"/>
                <w:szCs w:val="22"/>
              </w:rPr>
              <w:t xml:space="preserve">Your strongest reason, written as a claim of its own.</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73"/>
            <w:tcMar>
              <w:top w:type="dxa" w:w="70"/>
              <w:left w:type="dxa" w:w="100"/>
              <w:bottom w:type="dxa" w:w="70"/>
              <w:right w:type="dxa" w:w="100"/>
            </w:tcMar>
            <w:vAlign w:val="top"/>
          </w:tcPr>
          <w:p>
            <w:pPr>
              <w:spacing w:after="0" w:line="252"/>
              <w:jc w:val="left"/>
            </w:pPr>
            <w:r>
              <w:rPr>
                <w:sz w:val="22"/>
                <w:szCs w:val="22"/>
              </w:rPr>
              <w:t xml:space="preserve">The exact data or local detail that supports reason 1, quoted or restated accurately.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073"/>
            <w:tcMar>
              <w:top w:type="dxa" w:w="70"/>
              <w:left w:type="dxa" w:w="100"/>
              <w:bottom w:type="dxa" w:w="70"/>
              <w:right w:type="dxa" w:w="100"/>
            </w:tcMar>
            <w:vAlign w:val="top"/>
          </w:tcPr>
          <w:p>
            <w:pPr>
              <w:spacing w:after="0" w:line="252"/>
              <w:jc w:val="left"/>
            </w:pPr>
            <w:r>
              <w:rPr>
                <w:sz w:val="22"/>
                <w:szCs w:val="22"/>
              </w:rPr>
              <w:t xml:space="preserve">A second reason that does not repeat reason 1.</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73"/>
            <w:tcMar>
              <w:top w:type="dxa" w:w="70"/>
              <w:left w:type="dxa" w:w="100"/>
              <w:bottom w:type="dxa" w:w="70"/>
              <w:right w:type="dxa" w:w="100"/>
            </w:tcMar>
            <w:vAlign w:val="top"/>
          </w:tcPr>
          <w:p>
            <w:pPr>
              <w:spacing w:after="0" w:line="252"/>
              <w:jc w:val="left"/>
            </w:pPr>
            <w:r>
              <w:rPr>
                <w:sz w:val="22"/>
                <w:szCs w:val="22"/>
              </w:rPr>
              <w:t xml:space="preserve">The data or local detail that supports reason 2.</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73"/>
            <w:tcMar>
              <w:top w:type="dxa" w:w="70"/>
              <w:left w:type="dxa" w:w="100"/>
              <w:bottom w:type="dxa" w:w="70"/>
              <w:right w:type="dxa" w:w="100"/>
            </w:tcMar>
            <w:vAlign w:val="top"/>
          </w:tcPr>
          <w:p>
            <w:pPr>
              <w:spacing w:after="0" w:line="252"/>
              <w:jc w:val="left"/>
            </w:pPr>
            <w:r>
              <w:rPr>
                <w:sz w:val="22"/>
                <w:szCs w:val="22"/>
              </w:rPr>
              <w:t xml:space="preserve">The strongest point someone on the other side would make, stated fairly.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073"/>
            <w:tcMar>
              <w:top w:type="dxa" w:w="70"/>
              <w:left w:type="dxa" w:w="100"/>
              <w:bottom w:type="dxa" w:w="70"/>
              <w:right w:type="dxa" w:w="100"/>
            </w:tcMar>
            <w:vAlign w:val="top"/>
          </w:tcPr>
          <w:p>
            <w:pPr>
              <w:spacing w:after="0" w:line="252"/>
              <w:jc w:val="left"/>
            </w:pPr>
            <w:r>
              <w:rPr>
                <w:sz w:val="22"/>
                <w:szCs w:val="22"/>
              </w:rPr>
              <w:t xml:space="preserve">Why your position still holds once that point is taken seriously.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Recommendation</w:t>
            </w:r>
          </w:p>
        </w:tc>
        <w:tc>
          <w:tcPr>
            <w:tcW w:type="dxa" w:w="3073"/>
            <w:tcMar>
              <w:top w:type="dxa" w:w="70"/>
              <w:left w:type="dxa" w:w="100"/>
              <w:bottom w:type="dxa" w:w="70"/>
              <w:right w:type="dxa" w:w="100"/>
            </w:tcMar>
            <w:vAlign w:val="top"/>
          </w:tcPr>
          <w:p>
            <w:pPr>
              <w:spacing w:after="0" w:line="252"/>
              <w:jc w:val="left"/>
            </w:pPr>
            <w:r>
              <w:rPr>
                <w:sz w:val="22"/>
                <w:szCs w:val="22"/>
              </w:rPr>
              <w:t xml:space="preserve">What you want the board to do, and what happens next if they do it.</w:t>
            </w:r>
          </w:p>
        </w:tc>
        <w:tc>
          <w:tcPr>
            <w:tcW w:type="dxa" w:w="434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Pennister Valley Add a Water Technology Pathway?</w:t>
      </w:r>
    </w:p>
    <w:p>
      <w:pPr>
        <w:keepNext/>
        <w:spacing w:after="160"/>
      </w:pPr>
      <w:r>
        <w:rPr>
          <w:color w:val="5B6B70"/>
          <w:sz w:val="20"/>
          <w:szCs w:val="20"/>
        </w:rPr>
        <w:t xml:space="preserve">Writing prompt · Grade 8 · Careers &amp; CTE</w:t>
      </w:r>
    </w:p>
    <w:p>
      <w:pPr>
        <w:keepNext/>
        <w:keepLines/>
        <w:spacing w:after="100" w:line="264"/>
      </w:pPr>
      <w:r>
        <w:rPr>
          <w:b/>
          <w:bCs/>
          <w:sz w:val="22"/>
          <w:szCs w:val="22"/>
        </w:rPr>
        <w:t xml:space="preserve">Exemplar response</w:t>
      </w:r>
    </w:p>
    <w:p>
      <w:pPr>
        <w:spacing w:after="100" w:line="264"/>
      </w:pPr>
      <w:r>
        <w:rPr>
          <w:sz w:val="22"/>
          <w:szCs w:val="22"/>
        </w:rPr>
        <w:t xml:space="preserve">The Pennister Valley school board should give the open lab bay to a water technology pathway. Our district has to pick one program, and this is the one that points at jobs which are open now, close to home, and reachable straight out of high school.</w:t>
      </w:r>
    </w:p>
    <w:p>
      <w:pPr>
        <w:spacing w:after="100" w:line="264"/>
      </w:pPr>
      <w:r>
        <w:rPr>
          <w:sz w:val="22"/>
          <w:szCs w:val="22"/>
        </w:rPr>
        <w:t xml:space="preserve">The first reason is that the openings keep coming. About 10,000 water and wastewater operator jobs open each year across the country through 2035, and all of them come from replacing workers who retire or change careers rather than from the field growing. The same pattern shows up in our own valley. The Pennister Valley Water Authority employs 14 licensed operators, and six of them can retire within eight years. A program that graduates even four students a year would matter to a utility that size.</w:t>
      </w:r>
    </w:p>
    <w:p>
      <w:pPr>
        <w:spacing w:after="100" w:line="264"/>
      </w:pPr>
      <w:r>
        <w:rPr>
          <w:sz w:val="22"/>
          <w:szCs w:val="22"/>
        </w:rPr>
        <w:t xml:space="preserve">The second reason is that the work pays enough to live on and does not require a four-year degree to start. Median pay for operators was $60,020 per year in May 2025, and the highest tenth earned more than $91,060. The lowest tenth earned less than $39,110, so the first years are modest, but the license classes give operators a way to raise their pay by passing exams and gaining experience. Students who later want to become engineers or hydrologists can add a degree on top of a license, so choosing this pathway in high school does not rule out college afterward.</w:t>
      </w:r>
    </w:p>
    <w:p>
      <w:pPr>
        <w:spacing w:after="100" w:line="264"/>
      </w:pPr>
      <w:r>
        <w:rPr>
          <w:sz w:val="22"/>
          <w:szCs w:val="22"/>
        </w:rPr>
        <w:t xml:space="preserve">Someone will argue that the automotive program should get the bay because 22 students are already on its waitlist, and that is a fair point. A waitlist is real evidence that students want those seats. Even so, a waitlist measures demand for a class, not demand for workers, and the water data speaks directly to the demand for workers. EPA estimates that roughly one-third of the water workforce is eligible to retire within 10 years, which means those retirements will arrive whether or not our district prepares anyone to fill the jobs. The board can also ask the automotive teacher whether one added section would shorten the waitlist without using the bay.</w:t>
      </w:r>
    </w:p>
    <w:p>
      <w:pPr>
        <w:spacing w:after="100" w:line="264"/>
      </w:pPr>
      <w:r>
        <w:rPr>
          <w:sz w:val="22"/>
          <w:szCs w:val="22"/>
        </w:rPr>
        <w:t xml:space="preserve">For those reasons, the board should approve the water technology pathway for next year. The utility has offered internships and an instructor for one afternoon a week, the license does not require a four-year degree first, and the retirements are already on the calendar. Pennister Valley students should be the ones standing in line for those jobs.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15"/>
        <w:gridCol w:w="2854"/>
        <w:gridCol w:w="3113"/>
        <w:gridCol w:w="349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715"/>
            <w:tcMar>
              <w:top w:type="dxa" w:w="70"/>
              <w:left w:type="dxa" w:w="100"/>
              <w:bottom w:type="dxa" w:w="70"/>
              <w:right w:type="dxa" w:w="100"/>
            </w:tcMar>
            <w:vAlign w:val="top"/>
          </w:tcPr>
          <w:p>
            <w:pPr>
              <w:keepNext/>
              <w:spacing w:after="0" w:line="252"/>
              <w:jc w:val="left"/>
            </w:pPr>
            <w:r>
              <w:rPr>
                <w:sz w:val="20"/>
                <w:szCs w:val="20"/>
              </w:rPr>
              <w:t xml:space="preserve">The position is unclear or shifts during the essay.</w:t>
            </w:r>
          </w:p>
        </w:tc>
        <w:tc>
          <w:tcPr>
            <w:tcW w:type="dxa" w:w="2854"/>
            <w:tcMar>
              <w:top w:type="dxa" w:w="70"/>
              <w:left w:type="dxa" w:w="100"/>
              <w:bottom w:type="dxa" w:w="70"/>
              <w:right w:type="dxa" w:w="100"/>
            </w:tcMar>
            <w:vAlign w:val="top"/>
          </w:tcPr>
          <w:p>
            <w:pPr>
              <w:keepNext/>
              <w:spacing w:after="0" w:line="252"/>
              <w:jc w:val="left"/>
            </w:pPr>
            <w:r>
              <w:rPr>
                <w:sz w:val="20"/>
                <w:szCs w:val="20"/>
              </w:rPr>
              <w:t xml:space="preserve">A position is stated but is vague or buried in the middle.</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A clear position is stated early and held throughout.</w:t>
            </w:r>
          </w:p>
        </w:tc>
        <w:tc>
          <w:tcPr>
            <w:tcW w:type="dxa" w:w="3490"/>
            <w:tcMar>
              <w:top w:type="dxa" w:w="70"/>
              <w:left w:type="dxa" w:w="100"/>
              <w:bottom w:type="dxa" w:w="70"/>
              <w:right w:type="dxa" w:w="100"/>
            </w:tcMar>
            <w:vAlign w:val="top"/>
          </w:tcPr>
          <w:p>
            <w:pPr>
              <w:keepNext/>
              <w:spacing w:after="0" w:line="252"/>
              <w:jc w:val="left"/>
            </w:pPr>
            <w:r>
              <w:rPr>
                <w:sz w:val="20"/>
                <w:szCs w:val="20"/>
              </w:rPr>
              <w:t xml:space="preserve">A clear position is stated early, is specific enough to vote on, and is restated with added force at the end.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715"/>
            <w:tcMar>
              <w:top w:type="dxa" w:w="70"/>
              <w:left w:type="dxa" w:w="100"/>
              <w:bottom w:type="dxa" w:w="70"/>
              <w:right w:type="dxa" w:w="100"/>
            </w:tcMar>
            <w:vAlign w:val="top"/>
          </w:tcPr>
          <w:p>
            <w:pPr>
              <w:keepNext/>
              <w:spacing w:after="0" w:line="252"/>
              <w:jc w:val="left"/>
            </w:pPr>
            <w:r>
              <w:rPr>
                <w:sz w:val="20"/>
                <w:szCs w:val="20"/>
              </w:rPr>
              <w:t xml:space="preserve">Fewer than two pieces of evidence appear, or evidence is misstated.</w:t>
            </w:r>
          </w:p>
        </w:tc>
        <w:tc>
          <w:tcPr>
            <w:tcW w:type="dxa" w:w="2854"/>
            <w:tcMar>
              <w:top w:type="dxa" w:w="70"/>
              <w:left w:type="dxa" w:w="100"/>
              <w:bottom w:type="dxa" w:w="70"/>
              <w:right w:type="dxa" w:w="100"/>
            </w:tcMar>
            <w:vAlign w:val="top"/>
          </w:tcPr>
          <w:p>
            <w:pPr>
              <w:keepNext/>
              <w:spacing w:after="0" w:line="252"/>
              <w:jc w:val="left"/>
            </w:pPr>
            <w:r>
              <w:rPr>
                <w:sz w:val="20"/>
                <w:szCs w:val="20"/>
              </w:rPr>
              <w:t xml:space="preserve">Two pieces of evidence appear but are dropped in without explanation.</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At least three accurate pieces of evidence appear, each tied to the reason it supports.</w:t>
            </w:r>
          </w:p>
        </w:tc>
        <w:tc>
          <w:tcPr>
            <w:tcW w:type="dxa" w:w="3490"/>
            <w:tcMar>
              <w:top w:type="dxa" w:w="70"/>
              <w:left w:type="dxa" w:w="100"/>
              <w:bottom w:type="dxa" w:w="70"/>
              <w:right w:type="dxa" w:w="100"/>
            </w:tcMar>
            <w:vAlign w:val="top"/>
          </w:tcPr>
          <w:p>
            <w:pPr>
              <w:keepNext/>
              <w:spacing w:after="0" w:line="252"/>
              <w:jc w:val="left"/>
            </w:pPr>
            <w:r>
              <w:rPr>
                <w:sz w:val="20"/>
                <w:szCs w:val="20"/>
              </w:rPr>
              <w:t xml:space="preserve">Evidence is accurate, well chosen, and explained, including what a number does and does not prove.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715"/>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854"/>
            <w:tcMar>
              <w:top w:type="dxa" w:w="70"/>
              <w:left w:type="dxa" w:w="100"/>
              <w:bottom w:type="dxa" w:w="70"/>
              <w:right w:type="dxa" w:w="100"/>
            </w:tcMar>
            <w:vAlign w:val="top"/>
          </w:tcPr>
          <w:p>
            <w:pPr>
              <w:keepNext/>
              <w:spacing w:after="0" w:line="252"/>
              <w:jc w:val="left"/>
            </w:pPr>
            <w:r>
              <w:rPr>
                <w:sz w:val="20"/>
                <w:szCs w:val="20"/>
              </w:rPr>
              <w:t xml:space="preserve">A counterclaim is named but dismissed without reasoning.</w:t>
            </w:r>
          </w:p>
        </w:tc>
        <w:tc>
          <w:tcPr>
            <w:tcW w:type="dxa" w:w="3113"/>
            <w:tcMar>
              <w:top w:type="dxa" w:w="70"/>
              <w:left w:type="dxa" w:w="100"/>
              <w:bottom w:type="dxa" w:w="70"/>
              <w:right w:type="dxa" w:w="100"/>
            </w:tcMar>
            <w:vAlign w:val="top"/>
          </w:tcPr>
          <w:p>
            <w:pPr>
              <w:keepNext/>
              <w:spacing w:after="0" w:line="252"/>
              <w:jc w:val="left"/>
            </w:pPr>
            <w:r>
              <w:rPr>
                <w:sz w:val="20"/>
                <w:szCs w:val="20"/>
              </w:rPr>
              <w:t xml:space="preserve">The counterclaim is stated fairly and answered with a reason.</w:t>
            </w:r>
          </w:p>
        </w:tc>
        <w:tc>
          <w:tcPr>
            <w:tcW w:type="dxa" w:w="3490"/>
            <w:tcMar>
              <w:top w:type="dxa" w:w="70"/>
              <w:left w:type="dxa" w:w="100"/>
              <w:bottom w:type="dxa" w:w="70"/>
              <w:right w:type="dxa" w:w="100"/>
            </w:tcMar>
            <w:vAlign w:val="top"/>
          </w:tcPr>
          <w:p>
            <w:pPr>
              <w:keepNext/>
              <w:spacing w:after="0" w:line="252"/>
              <w:jc w:val="left"/>
            </w:pPr>
            <w:r>
              <w:rPr>
                <w:sz w:val="20"/>
                <w:szCs w:val="20"/>
              </w:rPr>
              <w:t xml:space="preserve">The counterclaim is stated at its strongest, granted where it is right, and answered with a distinction the reader can follow.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715"/>
            <w:tcMar>
              <w:top w:type="dxa" w:w="70"/>
              <w:left w:type="dxa" w:w="100"/>
              <w:bottom w:type="dxa" w:w="70"/>
              <w:right w:type="dxa" w:w="100"/>
            </w:tcMar>
            <w:vAlign w:val="top"/>
          </w:tcPr>
          <w:p>
            <w:pPr>
              <w:spacing w:after="0" w:line="252"/>
              <w:jc w:val="left"/>
            </w:pPr>
            <w:r>
              <w:rPr>
                <w:sz w:val="20"/>
                <w:szCs w:val="20"/>
              </w:rPr>
              <w:t xml:space="preserve">Paragraphs are missing or ideas run together; frequent errors interrupt meaning.</w:t>
            </w:r>
          </w:p>
        </w:tc>
        <w:tc>
          <w:tcPr>
            <w:tcW w:type="dxa" w:w="2854"/>
            <w:tcMar>
              <w:top w:type="dxa" w:w="70"/>
              <w:left w:type="dxa" w:w="100"/>
              <w:bottom w:type="dxa" w:w="70"/>
              <w:right w:type="dxa" w:w="100"/>
            </w:tcMar>
            <w:vAlign w:val="top"/>
          </w:tcPr>
          <w:p>
            <w:pPr>
              <w:spacing w:after="0" w:line="252"/>
              <w:jc w:val="left"/>
            </w:pPr>
            <w:r>
              <w:rPr>
                <w:sz w:val="20"/>
                <w:szCs w:val="20"/>
              </w:rPr>
              <w:t xml:space="preserve">Some structure is visible; errors are noticeable but meaning survives.</w:t>
            </w:r>
          </w:p>
        </w:tc>
        <w:tc>
          <w:tcPr>
            <w:tcW w:type="dxa" w:w="3113"/>
            <w:tcMar>
              <w:top w:type="dxa" w:w="70"/>
              <w:left w:type="dxa" w:w="100"/>
              <w:bottom w:type="dxa" w:w="70"/>
              <w:right w:type="dxa" w:w="100"/>
            </w:tcMar>
            <w:vAlign w:val="top"/>
          </w:tcPr>
          <w:p>
            <w:pPr>
              <w:spacing w:after="0" w:line="252"/>
              <w:jc w:val="left"/>
            </w:pPr>
            <w:r>
              <w:rPr>
                <w:sz w:val="20"/>
                <w:szCs w:val="20"/>
              </w:rPr>
              <w:t xml:space="preserve">Clear paragraphs, transitions between reasons, and few errors.</w:t>
            </w:r>
          </w:p>
        </w:tc>
        <w:tc>
          <w:tcPr>
            <w:tcW w:type="dxa" w:w="3490"/>
            <w:tcMar>
              <w:top w:type="dxa" w:w="70"/>
              <w:left w:type="dxa" w:w="100"/>
              <w:bottom w:type="dxa" w:w="70"/>
              <w:right w:type="dxa" w:w="100"/>
            </w:tcMar>
            <w:vAlign w:val="top"/>
          </w:tcPr>
          <w:p>
            <w:pPr>
              <w:spacing w:after="0" w:line="252"/>
              <w:jc w:val="left"/>
            </w:pPr>
            <w:r>
              <w:rPr>
                <w:sz w:val="20"/>
                <w:szCs w:val="20"/>
              </w:rPr>
              <w:t xml:space="preserve">Purposeful order, smooth transitions, formal tone suited to a school board,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Pennister Valley Add a Water Technology Pathway?</dc:title>
  <dc:subject>Writing prompt · Grade 8 · Careers &amp; CTE</dc:subject>
  <dc:creator>Water for Schools</dc:creator>
  <cp:keywords>Writing prompt, Grade 8, Careers &amp; CTE</cp:keywords>
  <dc:description>A grade 8 argument writing prompt in which students advise a fictional school board on adding a water technology pathway, with a planning organizer, exemplar, and rubric.</dc:description>
  <cp:lastModifiedBy>Water for Schools</cp:lastModifiedBy>
  <cp:revision>1</cp:revision>
  <dcterms:created xsi:type="dcterms:W3CDTF">2026-10-19T16:28:53.775Z</dcterms:created>
  <dcterms:modified xsi:type="dcterms:W3CDTF">2026-10-19T16:28:53.775Z</dcterms:modified>
</cp:coreProperties>
</file>

<file path=docProps/custom.xml><?xml version="1.0" encoding="utf-8"?>
<Properties xmlns="http://schemas.openxmlformats.org/officeDocument/2006/custom-properties" xmlns:vt="http://schemas.openxmlformats.org/officeDocument/2006/docPropsVTypes"/>
</file>