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Should Silverbeck Spend Its Training Budget?</w:t>
      </w:r>
    </w:p>
    <w:p>
      <w:pPr>
        <w:keepNext/>
        <w:spacing w:after="160"/>
      </w:pPr>
      <w:r>
        <w:rPr>
          <w:color w:val="5B6B70"/>
          <w:sz w:val="20"/>
          <w:szCs w:val="20"/>
        </w:rPr>
        <w:t xml:space="preserve">Writing prompt · Grade 9 · Careers &amp; CTE</w:t>
      </w:r>
    </w:p>
    <w:p>
      <w:pPr>
        <w:spacing w:after="100" w:line="264"/>
      </w:pPr>
      <w:r>
        <w:rPr>
          <w:i/>
          <w:iCs/>
          <w:color w:val="12333F"/>
          <w:sz w:val="22"/>
          <w:szCs w:val="22"/>
        </w:rPr>
        <w:t xml:space="preserve">A grade 9 argument prompt asking students to recommend how a fictional water authority spends one training budget: a degree for one employee or six license upgrades.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argument essay that states a claim and supports it with evidence from a provided scenario.</w:t>
      </w:r>
    </w:p>
    <w:p>
      <w:pPr>
        <w:pStyle w:val="ListParagraph"/>
        <w:keepNext/>
        <w:keepLines/>
        <w:numPr>
          <w:ilvl w:val="0"/>
          <w:numId w:val="2"/>
        </w:numPr>
        <w:spacing w:after="60" w:line="264"/>
        <w:ind w:left="720" w:hanging="360"/>
      </w:pPr>
      <w:r>
        <w:rPr>
          <w:sz w:val="22"/>
          <w:szCs w:val="22"/>
        </w:rPr>
        <w:t xml:space="preserve">Students will address a counterclaim raised by the competing proposal and answer it.</w:t>
      </w:r>
    </w:p>
    <w:p>
      <w:pPr>
        <w:pStyle w:val="ListParagraph"/>
        <w:keepLines/>
        <w:numPr>
          <w:ilvl w:val="0"/>
          <w:numId w:val="2"/>
        </w:numPr>
        <w:spacing w:after="60" w:line="264"/>
        <w:ind w:left="720" w:hanging="360"/>
      </w:pPr>
      <w:r>
        <w:rPr>
          <w:sz w:val="22"/>
          <w:szCs w:val="22"/>
        </w:rPr>
        <w:t xml:space="preserve">Students will explain why a licensing requirement can set the timing of a staffing decision.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The task requires a claim recommending one use of the training budget, a counterclaim raised by the other proposal, and evidence drawn from the background material.</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Students weigh the added benefit of each proposal against one fixed budget, which is a marginal comparison between two competing uses of the same dollars.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license class, tuition support, counterclaim, training budget, shift coverage</w:t>
      </w:r>
    </w:p>
    <w:p>
      <w:pPr>
        <w:pStyle w:val="Heading2"/>
        <w:keepNext/>
        <w:keepLines/>
      </w:pPr>
      <w:r>
        <w:rPr>
          <w:sz w:val="28"/>
          <w:szCs w:val="28"/>
        </w:rPr>
        <w:t xml:space="preserve">Teacher overview</w:t>
      </w:r>
    </w:p>
    <w:p>
      <w:pPr>
        <w:spacing w:after="100" w:line="264"/>
      </w:pPr>
      <w:r>
        <w:rPr>
          <w:sz w:val="22"/>
          <w:szCs w:val="22"/>
        </w:rPr>
        <w:t xml:space="preserve">The fictional Silverbeck Water Authority has one training budget and two good uses for it, and this prompt asks students to recommend one and defend the choice. The tension is genuine, because a degree and a license upgrade both build the same workforce on different timelines, while the authority faces a permit requirement that takes effect next year. The common misconception this prompt corrects is that an operator license is a single one-time credential. Licenses run in classes tied to plant size and experience, which is why a utility can be fully licensed today and short of required supervisors the moment a larger plant comes online.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sentence starters for each organizer row, such as "The fictional Silverbeck Authority should fund ___ because the background says ___." Allow the counterclaim and the answer to it to be written as one combined paragraph rather than two.</w:t>
      </w:r>
    </w:p>
    <w:p>
      <w:pPr>
        <w:pStyle w:val="Heading3"/>
        <w:keepNext/>
        <w:keepLines/>
      </w:pPr>
      <w:r>
        <w:rPr>
          <w:sz w:val="24"/>
          <w:szCs w:val="24"/>
        </w:rPr>
        <w:t xml:space="preserve">Extension</w:t>
      </w:r>
    </w:p>
    <w:p>
      <w:pPr>
        <w:spacing w:after="100" w:line="264"/>
      </w:pPr>
      <w:r>
        <w:rPr>
          <w:sz w:val="22"/>
          <w:szCs w:val="22"/>
        </w:rPr>
        <w:t xml:space="preserve">Ask these students to write a third proposal that splits the fictional training budget between the two uses, then argue why a split serves the authority better or worse than choosing one. The essay must name what the split would give up on each side.</w:t>
      </w:r>
    </w:p>
    <w:p>
      <w:pPr>
        <w:pStyle w:val="Heading3"/>
        <w:keepNext/>
        <w:keepLines/>
      </w:pPr>
      <w:r>
        <w:rPr>
          <w:sz w:val="24"/>
          <w:szCs w:val="24"/>
        </w:rPr>
        <w:t xml:space="preserve">ELL supports</w:t>
      </w:r>
    </w:p>
    <w:p>
      <w:pPr>
        <w:spacing w:after="100" w:line="264"/>
      </w:pPr>
      <w:r>
        <w:rPr>
          <w:sz w:val="22"/>
          <w:szCs w:val="22"/>
        </w:rPr>
        <w:t xml:space="preserve">Pre-teach license class, tuition, counterclaim, and shift coverage with short definitions and one example each. Allow the organizer to be filled with phrases, and let students talk through the counterclaim with a partner before drafting it.</w:t>
      </w:r>
    </w:p>
    <w:p>
      <w:pPr>
        <w:pStyle w:val="Heading2"/>
        <w:keepNext/>
        <w:keepLines/>
      </w:pPr>
      <w:r>
        <w:rPr>
          <w:sz w:val="28"/>
          <w:szCs w:val="28"/>
        </w:rPr>
        <w:t xml:space="preserve">Extensions</w:t>
      </w:r>
    </w:p>
    <w:p>
      <w:pPr>
        <w:spacing w:after="100" w:line="264"/>
      </w:pPr>
      <w:r>
        <w:rPr>
          <w:sz w:val="22"/>
          <w:szCs w:val="22"/>
        </w:rPr>
        <w:t xml:space="preserve">Ask a utility training coordinator or a community college program director how their own training money is divided in a typical year. Students can compare that account with their recommendation and write one paragraph on which pressures they had not considered.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Should Silverbeck Spend Its Training Budget?</w:t>
      </w:r>
    </w:p>
    <w:p>
      <w:pPr>
        <w:keepNext/>
        <w:spacing w:after="160"/>
      </w:pPr>
      <w:r>
        <w:rPr>
          <w:color w:val="5B6B70"/>
          <w:sz w:val="20"/>
          <w:szCs w:val="20"/>
        </w:rPr>
        <w:t xml:space="preserve">Grade 9 · Careers &amp; CTE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The Silverbeck Water Authority is a fictional utility serving three towns. It sets aside $18,000 each year for staff training. This year two proposals reached the general manager, and only one can be funded.</w:t>
      </w:r>
    </w:p>
    <w:p>
      <w:pPr>
        <w:spacing w:after="120" w:line="276"/>
      </w:pPr>
      <w:r>
        <w:rPr>
          <w:sz w:val="22"/>
          <w:szCs w:val="22"/>
        </w:rPr>
        <w:t xml:space="preserve">Proposal A funds one degree. Nadia Poole works as a maintenance technician at Silverbeck. She has finished two years of an environmental engineering degree in evening classes. The $18,000 would cover tuition and fees for her final two years. Silverbeck would then have an engineer who already knows its pumps, its plants, and its records.</w:t>
      </w:r>
    </w:p>
    <w:p>
      <w:pPr>
        <w:spacing w:after="120" w:line="276"/>
      </w:pPr>
      <w:r>
        <w:rPr>
          <w:sz w:val="22"/>
          <w:szCs w:val="22"/>
        </w:rPr>
        <w:t xml:space="preserve">Proposal B funds six license upgrades. Operator licenses are issued by the state and earned by exam, and applicants also document experience on the job. Licenses run in classes, often numbered one through four, and the class matches the size of the plant. Silverbeck brings a larger plant online next year. Its permit will require a Class III operator on every shift. Only two Silverbeck operators hold that class today. The $18,000 would pay exam fees, a preparation course, and paid study time for six operators.</w:t>
      </w:r>
    </w:p>
    <w:p>
      <w:pPr>
        <w:spacing w:after="120" w:line="276"/>
      </w:pPr>
      <w:r>
        <w:rPr>
          <w:sz w:val="22"/>
          <w:szCs w:val="22"/>
        </w:rPr>
        <w:t xml:space="preserve">Two figures apply to both proposals. Operators earned a median of $60,020 in May 2025, and the highest-paid 10 percent earned more than $91,060, so a higher class usually brings higher pay. Roughly one-third of the water workforce becomes retirement-eligible within the next decade. Both routes into this work are ordinary and respected, and Silverbeck has hired people from each of them.</w:t>
      </w:r>
    </w:p>
    <w:p>
      <w:pPr>
        <w:spacing w:after="120" w:line="276"/>
      </w:pPr>
      <w:r>
        <w:rPr>
          <w:b/>
          <w:bCs/>
          <w:sz w:val="22"/>
          <w:szCs w:val="22"/>
        </w:rPr>
        <w:t xml:space="preserve">Writing task:</w:t>
      </w:r>
      <w:r>
        <w:rPr>
          <w:sz w:val="22"/>
          <w:szCs w:val="22"/>
        </w:rPr>
        <w:t xml:space="preserve"> Write an argument essay recommending how the fictional Silverbeck Water Authority should spend this year's $18,000. State a clear claim. Support it with at least two pieces of evidence from the background above. Raise one counterclaim that a supporter of the other proposal would make, and answer it. End with a recommendation the general manager could act on.</w:t>
      </w:r>
    </w:p>
    <w:p>
      <w:pPr>
        <w:pStyle w:val="Heading2"/>
        <w:keepNext/>
        <w:keepLines/>
      </w:pPr>
      <w:r>
        <w:rPr>
          <w:sz w:val="28"/>
          <w:szCs w:val="28"/>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Claim: which proposal should Silverbeck fund?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1, with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Reason 2, with evidence from the background</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Counterclaim a supporter of the other proposal would raise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2"/>
                <w:szCs w:val="22"/>
              </w:rPr>
              <w:t xml:space="preserve">Your answer to that counterclaim</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2"/>
                <w:szCs w:val="22"/>
              </w:rPr>
              <w:t xml:space="preserve">Closing recommendation the general manager could act on</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How Should Silverbeck Spend Its Training Budget?</w:t>
      </w:r>
    </w:p>
    <w:p>
      <w:pPr>
        <w:keepNext/>
        <w:spacing w:after="160"/>
      </w:pPr>
      <w:r>
        <w:rPr>
          <w:color w:val="5B6B70"/>
          <w:sz w:val="20"/>
          <w:szCs w:val="20"/>
        </w:rPr>
        <w:t xml:space="preserve">Writing prompt · Grade 9 · Careers &amp; CTE</w:t>
      </w:r>
    </w:p>
    <w:p>
      <w:pPr>
        <w:keepNext/>
        <w:keepLines/>
        <w:spacing w:after="100" w:line="264"/>
      </w:pPr>
      <w:r>
        <w:rPr>
          <w:b/>
          <w:bCs/>
          <w:sz w:val="22"/>
          <w:szCs w:val="22"/>
        </w:rPr>
        <w:t xml:space="preserve">Exemplar response:</w:t>
      </w:r>
    </w:p>
    <w:p>
      <w:pPr>
        <w:spacing w:after="100" w:line="264"/>
      </w:pPr>
      <w:r>
        <w:rPr>
          <w:sz w:val="22"/>
          <w:szCs w:val="22"/>
        </w:rPr>
        <w:t xml:space="preserve">Silverbeck should spend this year's $18,000 on the six license upgrades. The authority faces a requirement with a fixed date, and only that proposal answers it in time.</w:t>
      </w:r>
    </w:p>
    <w:p>
      <w:pPr>
        <w:spacing w:after="100" w:line="264"/>
      </w:pPr>
      <w:r>
        <w:rPr>
          <w:sz w:val="22"/>
          <w:szCs w:val="22"/>
        </w:rPr>
        <w:t xml:space="preserve">The strongest reason is the new plant. Silverbeck brings a larger plant online next year, and its permit will require a Class III operator on every shift. Only two operators hold that class today. Six upgrades would cover the shift schedule with enough people left over for vacations and sick days. A tuition payment cannot staff a shift next year, because a degree finishes on the college calendar rather than on the plant's.</w:t>
      </w:r>
    </w:p>
    <w:p>
      <w:pPr>
        <w:spacing w:after="100" w:line="264"/>
      </w:pPr>
      <w:r>
        <w:rPr>
          <w:sz w:val="22"/>
          <w:szCs w:val="22"/>
        </w:rPr>
        <w:t xml:space="preserve">The second reason is how far the same money reaches. The $18,000 pays for six employees under Proposal B and for one under Proposal A. Operators earned a median of $60,020 in May 2025, and the highest-paid 10 percent earned more than $91,060, so a higher license class usually means higher pay. Six operators moving up is six reasons to stay at Silverbeck, which matters when roughly one-third of the water workforce becomes retirement-eligible within the next decade.</w:t>
      </w:r>
    </w:p>
    <w:p>
      <w:pPr>
        <w:spacing w:after="100" w:line="264"/>
      </w:pPr>
      <w:r>
        <w:rPr>
          <w:sz w:val="22"/>
          <w:szCs w:val="22"/>
        </w:rPr>
        <w:t xml:space="preserve">Supporters of Proposal A would answer that an engineer who already knows Silverbeck's pumps and records is hard to replace, and that letting Nadia Poole finish somewhere else could cost the authority an employee it has already trained. That is a fair concern, and the degree path is as legitimate as the license path. The disagreement is about timing rather than about value. Silverbeck can fund her final two years in the next budget cycle, or split her tuition across two years, because her graduation date is not set by a permit. The Class III requirement is set, and missing it would leave the new plant without the supervision its permit demands.</w:t>
      </w:r>
    </w:p>
    <w:p>
      <w:pPr>
        <w:spacing w:after="100" w:line="264"/>
      </w:pPr>
      <w:r>
        <w:rPr>
          <w:sz w:val="22"/>
          <w:szCs w:val="22"/>
        </w:rPr>
        <w:t xml:space="preserve">Silverbeck should fund the six license upgrades this year and put Nadia Poole's tuition first in line for next year's budget. That order meets the permit on time and still keeps the engineer the authority wants.</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823"/>
        <w:gridCol w:w="2537"/>
        <w:gridCol w:w="3581"/>
        <w:gridCol w:w="423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82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Claim</w:t>
            </w:r>
          </w:p>
        </w:tc>
        <w:tc>
          <w:tcPr>
            <w:tcW w:type="dxa" w:w="1823"/>
            <w:tcMar>
              <w:top w:type="dxa" w:w="70"/>
              <w:left w:type="dxa" w:w="100"/>
              <w:bottom w:type="dxa" w:w="70"/>
              <w:right w:type="dxa" w:w="100"/>
            </w:tcMar>
            <w:vAlign w:val="top"/>
          </w:tcPr>
          <w:p>
            <w:pPr>
              <w:keepNext/>
              <w:spacing w:after="0" w:line="252"/>
              <w:jc w:val="left"/>
            </w:pPr>
            <w:r>
              <w:rPr>
                <w:sz w:val="20"/>
                <w:szCs w:val="20"/>
              </w:rPr>
              <w:t xml:space="preserve">No clear recommendation</w:t>
            </w:r>
          </w:p>
        </w:tc>
        <w:tc>
          <w:tcPr>
            <w:tcW w:type="dxa" w:w="2537"/>
            <w:tcMar>
              <w:top w:type="dxa" w:w="70"/>
              <w:left w:type="dxa" w:w="100"/>
              <w:bottom w:type="dxa" w:w="70"/>
              <w:right w:type="dxa" w:w="100"/>
            </w:tcMar>
            <w:vAlign w:val="top"/>
          </w:tcPr>
          <w:p>
            <w:pPr>
              <w:keepNext/>
              <w:spacing w:after="0" w:line="252"/>
              <w:jc w:val="left"/>
            </w:pPr>
            <w:r>
              <w:rPr>
                <w:sz w:val="20"/>
                <w:szCs w:val="20"/>
              </w:rPr>
              <w:t xml:space="preserve">Names a proposal but the position shifts</w:t>
            </w:r>
          </w:p>
        </w:tc>
        <w:tc>
          <w:tcPr>
            <w:tcW w:type="dxa" w:w="3581"/>
            <w:tcMar>
              <w:top w:type="dxa" w:w="70"/>
              <w:left w:type="dxa" w:w="100"/>
              <w:bottom w:type="dxa" w:w="70"/>
              <w:right w:type="dxa" w:w="100"/>
            </w:tcMar>
            <w:vAlign w:val="top"/>
          </w:tcPr>
          <w:p>
            <w:pPr>
              <w:keepNext/>
              <w:spacing w:after="0" w:line="252"/>
              <w:jc w:val="left"/>
            </w:pPr>
            <w:r>
              <w:rPr>
                <w:sz w:val="20"/>
                <w:szCs w:val="20"/>
              </w:rPr>
              <w:t xml:space="preserve">States one clear recommendation and holds it throughout</w:t>
            </w:r>
          </w:p>
        </w:tc>
        <w:tc>
          <w:tcPr>
            <w:tcW w:type="dxa" w:w="4231"/>
            <w:tcMar>
              <w:top w:type="dxa" w:w="70"/>
              <w:left w:type="dxa" w:w="100"/>
              <w:bottom w:type="dxa" w:w="70"/>
              <w:right w:type="dxa" w:w="100"/>
            </w:tcMar>
            <w:vAlign w:val="top"/>
          </w:tcPr>
          <w:p>
            <w:pPr>
              <w:keepNext/>
              <w:spacing w:after="0" w:line="252"/>
              <w:jc w:val="left"/>
            </w:pPr>
            <w:r>
              <w:rPr>
                <w:sz w:val="20"/>
                <w:szCs w:val="20"/>
              </w:rPr>
              <w:t xml:space="preserve">States a clear recommendation and previews the reasoning behind it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and reasoning</w:t>
            </w:r>
          </w:p>
        </w:tc>
        <w:tc>
          <w:tcPr>
            <w:tcW w:type="dxa" w:w="1823"/>
            <w:tcMar>
              <w:top w:type="dxa" w:w="70"/>
              <w:left w:type="dxa" w:w="100"/>
              <w:bottom w:type="dxa" w:w="70"/>
              <w:right w:type="dxa" w:w="100"/>
            </w:tcMar>
            <w:vAlign w:val="top"/>
          </w:tcPr>
          <w:p>
            <w:pPr>
              <w:keepNext/>
              <w:spacing w:after="0" w:line="252"/>
              <w:jc w:val="left"/>
            </w:pPr>
            <w:r>
              <w:rPr>
                <w:sz w:val="20"/>
                <w:szCs w:val="20"/>
              </w:rPr>
              <w:t xml:space="preserve">No evidence from the background</w:t>
            </w:r>
          </w:p>
        </w:tc>
        <w:tc>
          <w:tcPr>
            <w:tcW w:type="dxa" w:w="2537"/>
            <w:tcMar>
              <w:top w:type="dxa" w:w="70"/>
              <w:left w:type="dxa" w:w="100"/>
              <w:bottom w:type="dxa" w:w="70"/>
              <w:right w:type="dxa" w:w="100"/>
            </w:tcMar>
            <w:vAlign w:val="top"/>
          </w:tcPr>
          <w:p>
            <w:pPr>
              <w:keepNext/>
              <w:spacing w:after="0" w:line="252"/>
              <w:jc w:val="left"/>
            </w:pPr>
            <w:r>
              <w:rPr>
                <w:sz w:val="20"/>
                <w:szCs w:val="20"/>
              </w:rPr>
              <w:t xml:space="preserve">Repeats one detail without explaining its relevance</w:t>
            </w:r>
          </w:p>
        </w:tc>
        <w:tc>
          <w:tcPr>
            <w:tcW w:type="dxa" w:w="3581"/>
            <w:tcMar>
              <w:top w:type="dxa" w:w="70"/>
              <w:left w:type="dxa" w:w="100"/>
              <w:bottom w:type="dxa" w:w="70"/>
              <w:right w:type="dxa" w:w="100"/>
            </w:tcMar>
            <w:vAlign w:val="top"/>
          </w:tcPr>
          <w:p>
            <w:pPr>
              <w:keepNext/>
              <w:spacing w:after="0" w:line="252"/>
              <w:jc w:val="left"/>
            </w:pPr>
            <w:r>
              <w:rPr>
                <w:sz w:val="20"/>
                <w:szCs w:val="20"/>
              </w:rPr>
              <w:t xml:space="preserve">Uses at least two details from the background and explains how each supports the claim</w:t>
            </w:r>
          </w:p>
        </w:tc>
        <w:tc>
          <w:tcPr>
            <w:tcW w:type="dxa" w:w="4231"/>
            <w:tcMar>
              <w:top w:type="dxa" w:w="70"/>
              <w:left w:type="dxa" w:w="100"/>
              <w:bottom w:type="dxa" w:w="70"/>
              <w:right w:type="dxa" w:w="100"/>
            </w:tcMar>
            <w:vAlign w:val="top"/>
          </w:tcPr>
          <w:p>
            <w:pPr>
              <w:keepNext/>
              <w:spacing w:after="0" w:line="252"/>
              <w:jc w:val="left"/>
            </w:pPr>
            <w:r>
              <w:rPr>
                <w:sz w:val="20"/>
                <w:szCs w:val="20"/>
              </w:rPr>
              <w:t xml:space="preserve">Uses several details, explains each, and connects the permit deadline to the budget decision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Counterclaim and rebuttal</w:t>
            </w:r>
          </w:p>
        </w:tc>
        <w:tc>
          <w:tcPr>
            <w:tcW w:type="dxa" w:w="1823"/>
            <w:tcMar>
              <w:top w:type="dxa" w:w="70"/>
              <w:left w:type="dxa" w:w="100"/>
              <w:bottom w:type="dxa" w:w="70"/>
              <w:right w:type="dxa" w:w="100"/>
            </w:tcMar>
            <w:vAlign w:val="top"/>
          </w:tcPr>
          <w:p>
            <w:pPr>
              <w:keepNext/>
              <w:spacing w:after="0" w:line="252"/>
              <w:jc w:val="left"/>
            </w:pPr>
            <w:r>
              <w:rPr>
                <w:sz w:val="20"/>
                <w:szCs w:val="20"/>
              </w:rPr>
              <w:t xml:space="preserve">No counterclaim</w:t>
            </w:r>
          </w:p>
        </w:tc>
        <w:tc>
          <w:tcPr>
            <w:tcW w:type="dxa" w:w="2537"/>
            <w:tcMar>
              <w:top w:type="dxa" w:w="70"/>
              <w:left w:type="dxa" w:w="100"/>
              <w:bottom w:type="dxa" w:w="70"/>
              <w:right w:type="dxa" w:w="100"/>
            </w:tcMar>
            <w:vAlign w:val="top"/>
          </w:tcPr>
          <w:p>
            <w:pPr>
              <w:keepNext/>
              <w:spacing w:after="0" w:line="252"/>
              <w:jc w:val="left"/>
            </w:pPr>
            <w:r>
              <w:rPr>
                <w:sz w:val="20"/>
                <w:szCs w:val="20"/>
              </w:rPr>
              <w:t xml:space="preserve">Mentions the other proposal without answering it</w:t>
            </w:r>
          </w:p>
        </w:tc>
        <w:tc>
          <w:tcPr>
            <w:tcW w:type="dxa" w:w="3581"/>
            <w:tcMar>
              <w:top w:type="dxa" w:w="70"/>
              <w:left w:type="dxa" w:w="100"/>
              <w:bottom w:type="dxa" w:w="70"/>
              <w:right w:type="dxa" w:w="100"/>
            </w:tcMar>
            <w:vAlign w:val="top"/>
          </w:tcPr>
          <w:p>
            <w:pPr>
              <w:keepNext/>
              <w:spacing w:after="0" w:line="252"/>
              <w:jc w:val="left"/>
            </w:pPr>
            <w:r>
              <w:rPr>
                <w:sz w:val="20"/>
                <w:szCs w:val="20"/>
              </w:rPr>
              <w:t xml:space="preserve">States a counterclaim and answers it directly</w:t>
            </w:r>
          </w:p>
        </w:tc>
        <w:tc>
          <w:tcPr>
            <w:tcW w:type="dxa" w:w="4231"/>
            <w:tcMar>
              <w:top w:type="dxa" w:w="70"/>
              <w:left w:type="dxa" w:w="100"/>
              <w:bottom w:type="dxa" w:w="70"/>
              <w:right w:type="dxa" w:w="100"/>
            </w:tcMar>
            <w:vAlign w:val="top"/>
          </w:tcPr>
          <w:p>
            <w:pPr>
              <w:keepNext/>
              <w:spacing w:after="0" w:line="252"/>
              <w:jc w:val="left"/>
            </w:pPr>
            <w:r>
              <w:rPr>
                <w:sz w:val="20"/>
                <w:szCs w:val="20"/>
              </w:rPr>
              <w:t xml:space="preserve">States a counterclaim fairly, answers it, and ties the answer back to the claim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1823"/>
            <w:tcMar>
              <w:top w:type="dxa" w:w="70"/>
              <w:left w:type="dxa" w:w="100"/>
              <w:bottom w:type="dxa" w:w="70"/>
              <w:right w:type="dxa" w:w="100"/>
            </w:tcMar>
            <w:vAlign w:val="top"/>
          </w:tcPr>
          <w:p>
            <w:pPr>
              <w:spacing w:after="0" w:line="252"/>
              <w:jc w:val="left"/>
            </w:pPr>
            <w:r>
              <w:rPr>
                <w:sz w:val="20"/>
                <w:szCs w:val="20"/>
              </w:rPr>
              <w:t xml:space="preserve">Ideas are disconnected and errors block meaning</w:t>
            </w:r>
          </w:p>
        </w:tc>
        <w:tc>
          <w:tcPr>
            <w:tcW w:type="dxa" w:w="2537"/>
            <w:tcMar>
              <w:top w:type="dxa" w:w="70"/>
              <w:left w:type="dxa" w:w="100"/>
              <w:bottom w:type="dxa" w:w="70"/>
              <w:right w:type="dxa" w:w="100"/>
            </w:tcMar>
            <w:vAlign w:val="top"/>
          </w:tcPr>
          <w:p>
            <w:pPr>
              <w:spacing w:after="0" w:line="252"/>
              <w:jc w:val="left"/>
            </w:pPr>
            <w:r>
              <w:rPr>
                <w:sz w:val="20"/>
                <w:szCs w:val="20"/>
              </w:rPr>
              <w:t xml:space="preserve">Some structure, with errors that are noticeable</w:t>
            </w:r>
          </w:p>
        </w:tc>
        <w:tc>
          <w:tcPr>
            <w:tcW w:type="dxa" w:w="3581"/>
            <w:tcMar>
              <w:top w:type="dxa" w:w="70"/>
              <w:left w:type="dxa" w:w="100"/>
              <w:bottom w:type="dxa" w:w="70"/>
              <w:right w:type="dxa" w:w="100"/>
            </w:tcMar>
            <w:vAlign w:val="top"/>
          </w:tcPr>
          <w:p>
            <w:pPr>
              <w:spacing w:after="0" w:line="252"/>
              <w:jc w:val="left"/>
            </w:pPr>
            <w:r>
              <w:rPr>
                <w:sz w:val="20"/>
                <w:szCs w:val="20"/>
              </w:rPr>
              <w:t xml:space="preserve">Clear paragraphs and a workable conclusion, with few errors</w:t>
            </w:r>
          </w:p>
        </w:tc>
        <w:tc>
          <w:tcPr>
            <w:tcW w:type="dxa" w:w="4231"/>
            <w:tcMar>
              <w:top w:type="dxa" w:w="70"/>
              <w:left w:type="dxa" w:w="100"/>
              <w:bottom w:type="dxa" w:w="70"/>
              <w:right w:type="dxa" w:w="100"/>
            </w:tcMar>
            <w:vAlign w:val="top"/>
          </w:tcPr>
          <w:p>
            <w:pPr>
              <w:spacing w:after="0" w:line="252"/>
              <w:jc w:val="left"/>
            </w:pPr>
            <w:r>
              <w:rPr>
                <w:sz w:val="20"/>
                <w:szCs w:val="20"/>
              </w:rPr>
              <w:t xml:space="preserve">Purposeful structure, a recommendation the manager could act on, and virtually no errors</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Should Silverbeck Spend Its Training Budget?</dc:title>
  <dc:subject>Writing prompt · Grade 9 · Careers &amp; CTE</dc:subject>
  <dc:creator>Water for Schools</dc:creator>
  <cp:keywords>Writing prompt, Grade 9, Careers &amp; CTE</cp:keywords>
  <dc:description>A grade 9 argument prompt asking students to recommend how a fictional water authority spends one training budget: a degree for one employee or six license upgrades.</dc:description>
  <cp:lastModifiedBy>Water for Schools</cp:lastModifiedBy>
  <cp:revision>1</cp:revision>
  <dcterms:created xsi:type="dcterms:W3CDTF">2026-10-19T16:28:54.100Z</dcterms:created>
  <dcterms:modified xsi:type="dcterms:W3CDTF">2026-10-19T16:28:54.100Z</dcterms:modified>
</cp:coreProperties>
</file>

<file path=docProps/custom.xml><?xml version="1.0" encoding="utf-8"?>
<Properties xmlns="http://schemas.openxmlformats.org/officeDocument/2006/custom-properties" xmlns:vt="http://schemas.openxmlformats.org/officeDocument/2006/docPropsVTypes"/>
</file>