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Cardwell County's Cistern Ordinance: A Grade 10 Debate Kit</w:t>
      </w:r>
    </w:p>
    <w:p>
      <w:pPr>
        <w:keepNext/>
        <w:spacing w:after="160"/>
      </w:pPr>
      <w:r>
        <w:rPr>
          <w:color w:val="5B6B70"/>
          <w:sz w:val="20"/>
          <w:szCs w:val="20"/>
        </w:rPr>
        <w:t xml:space="preserve">Debate kit · Grade 10 · English Language Arts</w:t>
      </w:r>
    </w:p>
    <w:p>
      <w:pPr>
        <w:spacing w:after="100" w:line="264"/>
      </w:pPr>
      <w:r>
        <w:rPr>
          <w:i/>
          <w:iCs/>
          <w:color w:val="12333F"/>
          <w:sz w:val="22"/>
          <w:szCs w:val="22"/>
        </w:rPr>
        <w:t xml:space="preserve">A structured debate on requiring rainwater cisterns in new homes, with a resolution, role notes, two-sided evidence with named sources,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Timer</w:t>
            </w:r>
          </w:p>
          <w:p>
            <w:pPr>
              <w:spacing w:after="0"/>
            </w:pPr>
            <w:r>
              <w:rPr>
                <w:sz w:val="20"/>
                <w:szCs w:val="20"/>
              </w:rPr>
              <w:t xml:space="preserve">• Index cards for flow notes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case from a shared evidence file rather than from prior opinion.</w:t>
      </w:r>
    </w:p>
    <w:p>
      <w:pPr>
        <w:pStyle w:val="ListParagraph"/>
        <w:keepNext/>
        <w:keepLines/>
        <w:numPr>
          <w:ilvl w:val="0"/>
          <w:numId w:val="2"/>
        </w:numPr>
        <w:spacing w:after="60" w:line="264"/>
        <w:ind w:left="720" w:hanging="360"/>
      </w:pPr>
      <w:r>
        <w:rPr>
          <w:sz w:val="22"/>
          <w:szCs w:val="22"/>
        </w:rPr>
        <w:t xml:space="preserve">Students will rebut an opposing argument by addressing its reasoning rather than its conclusion.</w:t>
      </w:r>
    </w:p>
    <w:p>
      <w:pPr>
        <w:pStyle w:val="ListParagraph"/>
        <w:keepLines/>
        <w:numPr>
          <w:ilvl w:val="0"/>
          <w:numId w:val="2"/>
        </w:numPr>
        <w:spacing w:after="60" w:line="264"/>
        <w:ind w:left="720" w:hanging="360"/>
      </w:pPr>
      <w:r>
        <w:rPr>
          <w:sz w:val="22"/>
          <w:szCs w:val="22"/>
        </w:rPr>
        <w:t xml:space="preserve">Students will distinguish a documented figure from a stakeholder's estimate when citing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Each team files a one-page written case stating a claim and supporting it with at least three evidence points from the file, and the rubric scores whether that case concedes what is true in the opposing argument.</w:t>
      </w:r>
    </w:p>
    <w:p>
      <w:pPr>
        <w:pStyle w:val="Heading2"/>
        <w:keepNext/>
        <w:keepLines/>
      </w:pPr>
      <w:r>
        <w:rPr>
          <w:sz w:val="28"/>
          <w:szCs w:val="28"/>
        </w:rPr>
        <w:t xml:space="preserve">Vocabulary</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spacing w:after="100" w:line="264"/>
      </w:pPr>
      <w:r>
        <w:rPr>
          <w:b/>
          <w:bCs/>
          <w:sz w:val="22"/>
          <w:szCs w:val="22"/>
        </w:rPr>
        <w:t xml:space="preserve">Also: </w:t>
      </w:r>
      <w:r>
        <w:rPr>
          <w:sz w:val="22"/>
          <w:szCs w:val="22"/>
        </w:rPr>
        <w:t xml:space="preserve">runoff coefficient, peak demand, retrofit, rebuttal</w:t>
      </w:r>
    </w:p>
    <w:p>
      <w:pPr>
        <w:pStyle w:val="Heading2"/>
        <w:keepNext/>
        <w:keepLines/>
      </w:pPr>
      <w:r>
        <w:rPr>
          <w:sz w:val="28"/>
          <w:szCs w:val="28"/>
        </w:rPr>
        <w:t xml:space="preserve">Teacher overview</w:t>
      </w:r>
    </w:p>
    <w:p>
      <w:pPr>
        <w:spacing w:after="100" w:line="264"/>
      </w:pPr>
      <w:r>
        <w:rPr>
          <w:sz w:val="22"/>
          <w:szCs w:val="22"/>
        </w:rPr>
        <w:t xml:space="preserve">This kit runs as a two-team policy debate across two class periods, with a first period for case building and a second for the rounds. The resolution asks whether a fictional county should require rainwater cisterns on new houses, and it is genuinely contested because the measure targets only new construction while the water problem belongs to everyone. Both sides can cite documented national figures, and both sides must handle the same awkward fact, which is that the driest weeks are also the weeks a cistern is most likely to be empty.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case skeleton with the claim written and three evidence slots labeled by number, so preparation begins with explanation rather than selection. Assign them cross-examination rather than constructive speaking for the first round, and provide two question stems: "Where in the file does that number come from?" and "Does your evidence show that it works in July?"</w:t>
      </w:r>
    </w:p>
    <w:p>
      <w:pPr>
        <w:pStyle w:val="Heading3"/>
        <w:keepNext/>
        <w:keepLines/>
      </w:pPr>
      <w:r>
        <w:rPr>
          <w:sz w:val="24"/>
          <w:szCs w:val="24"/>
        </w:rPr>
        <w:t xml:space="preserve">Extension</w:t>
      </w:r>
    </w:p>
    <w:p>
      <w:pPr>
        <w:spacing w:after="100" w:line="264"/>
      </w:pPr>
      <w:r>
        <w:rPr>
          <w:sz w:val="22"/>
          <w:szCs w:val="22"/>
        </w:rPr>
        <w:t xml:space="preserve">Assign these students the moderator and judge roles with an added task. After the round they write a one-page decision explaining which argument decided the debate and which evidence point either team failed to use, then propose an amendment to the ordinance that would answer the losing side's strongest objection.</w:t>
      </w:r>
    </w:p>
    <w:p>
      <w:pPr>
        <w:pStyle w:val="Heading3"/>
        <w:keepNext/>
        <w:keepLines/>
      </w:pPr>
      <w:r>
        <w:rPr>
          <w:sz w:val="24"/>
          <w:szCs w:val="24"/>
        </w:rPr>
        <w:t xml:space="preserve">ELL supports</w:t>
      </w:r>
    </w:p>
    <w:p>
      <w:pPr>
        <w:spacing w:after="100" w:line="264"/>
      </w:pPr>
      <w:r>
        <w:rPr>
          <w:sz w:val="22"/>
          <w:szCs w:val="22"/>
        </w:rPr>
        <w:t xml:space="preserve">Pre-teach cistern, runoff, peak demand, retrofit, and ordinance with a labeled sketch of a house showing gutters, cistern, spigot, driveway, and street. Provide the evidence file with the six points of each side already summarized in one short sentence apiece, and allow speeches to be delivered from a written script.</w:t>
      </w:r>
    </w:p>
    <w:p>
      <w:pPr>
        <w:pStyle w:val="Heading2"/>
        <w:keepNext/>
        <w:keepLines/>
      </w:pPr>
      <w:r>
        <w:rPr>
          <w:sz w:val="28"/>
          <w:szCs w:val="28"/>
        </w:rPr>
        <w:t xml:space="preserve">Extensions</w:t>
      </w:r>
    </w:p>
    <w:p>
      <w:pPr>
        <w:spacing w:after="100" w:line="264"/>
      </w:pPr>
      <w:r>
        <w:rPr>
          <w:sz w:val="22"/>
          <w:szCs w:val="22"/>
        </w:rPr>
        <w:t xml:space="preserve">Have students find whether their own city or county offers a rain barrel program, then write a short memo comparing that program's approach with the fictional ordinance debated here. A follow-on lesson can invite a stormwater program manager or a building inspector to describe how a requirement like this one is actually written and enforced.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Cardwell County's Cistern Ordinance</w:t>
      </w:r>
    </w:p>
    <w:p>
      <w:pPr>
        <w:keepNext/>
        <w:spacing w:after="160"/>
      </w:pPr>
      <w:r>
        <w:rPr>
          <w:color w:val="5B6B70"/>
          <w:sz w:val="20"/>
          <w:szCs w:val="20"/>
        </w:rPr>
        <w:t xml:space="preserve">Grade 10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Resolved: Cardwell County should require every new single-family home to include a rainwater cistern plumbed for outdoor use.</w:t>
      </w:r>
    </w:p>
    <w:p>
      <w:pPr>
        <w:spacing w:after="120" w:line="276"/>
      </w:pPr>
      <w:r>
        <w:rPr>
          <w:b/>
          <w:bCs/>
          <w:sz w:val="22"/>
          <w:szCs w:val="22"/>
        </w:rPr>
        <w:t xml:space="preserve">Background.</w:t>
      </w:r>
      <w:r>
        <w:rPr>
          <w:sz w:val="22"/>
          <w:szCs w:val="22"/>
        </w:rPr>
        <w:t xml:space="preserve"> Cardwell County is fictional, and so are its officials, its builders, and its water district. The national figures cited in the evidence file are real and are labeled with their sources.</w:t>
      </w:r>
    </w:p>
    <w:p>
      <w:pPr>
        <w:spacing w:after="120" w:line="276"/>
      </w:pPr>
      <w:r>
        <w:rPr>
          <w:sz w:val="22"/>
          <w:szCs w:val="22"/>
        </w:rPr>
        <w:t xml:space="preserve">The county sits at the edge of a growing metropolitan area. About nine hundred new houses have been built there in each of the last four years. All of them connect to the county water district, which draws from three wells and one small treatment plant.</w:t>
      </w:r>
    </w:p>
    <w:p>
      <w:pPr>
        <w:spacing w:after="120" w:line="276"/>
      </w:pPr>
      <w:r>
        <w:rPr>
          <w:sz w:val="22"/>
          <w:szCs w:val="22"/>
        </w:rPr>
        <w:t xml:space="preserve">Two problems arrive together each summer. The district's peak day, which falls in July, runs close to twice its winter average, and lawn watering is the main reason. Meanwhile, the new subdivisions have replaced fields with roofs, driveways, and streets, and the creek that receives their runoff now rises faster after storms than it did ten years ago. Two road crossings have washed out since the last comprehensive plan.</w:t>
      </w:r>
    </w:p>
    <w:p>
      <w:pPr>
        <w:spacing w:after="120" w:line="276"/>
      </w:pPr>
      <w:r>
        <w:rPr>
          <w:sz w:val="22"/>
          <w:szCs w:val="22"/>
        </w:rPr>
        <w:t xml:space="preserve">The proposed ordinance would require a cistern of at least 300 gallons on every new single-family house, connected to the roof gutters and plumbed to an outdoor spigot only. It would not apply to existing homes, to apartments, or to commercial buildings. Inspection would be handled at the existing final building inspection.</w:t>
      </w:r>
    </w:p>
    <w:p>
      <w:pPr>
        <w:spacing w:after="120" w:line="276"/>
      </w:pPr>
      <w:r>
        <w:rPr>
          <w:b/>
          <w:bCs/>
          <w:sz w:val="22"/>
          <w:szCs w:val="22"/>
        </w:rPr>
        <w:t xml:space="preserve">Roles.</w:t>
      </w:r>
      <w:r>
        <w:rPr>
          <w:sz w:val="22"/>
          <w:szCs w:val="22"/>
        </w:rPr>
        <w:t xml:space="preserve"> Divide the class into an affirmative team and a negative team, with one moderator and two judges drawn from either side or from students who prefer not to speak. The affirmative supports the ordinance and speaks first and last. The negative opposes it. Each team files a one-page written case before the round, and each speaker keeps flow notes on index cards.</w:t>
      </w:r>
    </w:p>
    <w:p>
      <w:pPr>
        <w:spacing w:after="120" w:line="276"/>
      </w:pPr>
      <w:r>
        <w:rPr>
          <w:b/>
          <w:bCs/>
          <w:sz w:val="22"/>
          <w:szCs w:val="22"/>
        </w:rPr>
        <w:t xml:space="preserve">Format.</w:t>
      </w:r>
      <w:r>
        <w:rPr>
          <w:sz w:val="22"/>
          <w:szCs w:val="22"/>
        </w:rPr>
        <w:t xml:space="preserve"> Affirmative constructive, six minutes. Negative constructive, six minutes. Preparation break, three minutes. Negative rebuttal, four minutes. Affirmative rebuttal, four minutes. Cross-examination of two minutes follows each constructive, with questions asked by a speaker who does not deliver that side's rebuttal. Judges score with the rubric and give one sentence of oral feedback per criterion.</w:t>
      </w:r>
    </w:p>
    <w:p>
      <w:pPr>
        <w:spacing w:after="120" w:line="276"/>
      </w:pPr>
      <w:r>
        <w:rPr>
          <w:b/>
          <w:bCs/>
          <w:sz w:val="22"/>
          <w:szCs w:val="22"/>
        </w:rPr>
        <w:t xml:space="preserve">A rule for both teams.</w:t>
      </w:r>
      <w:r>
        <w:rPr>
          <w:sz w:val="22"/>
          <w:szCs w:val="22"/>
        </w:rPr>
        <w:t xml:space="preserve"> Any evidence point you use must be identified as a documented figure with its source, as an estimate from a person in the scenario, or as reasoning drawn from the background. Judges deduct for treating a stakeholder's estimate as a documented fact.</w:t>
      </w:r>
    </w:p>
    <w:p>
      <w:pPr>
        <w:pStyle w:val="Heading2"/>
        <w:keepNext/>
        <w:keepLines/>
      </w:pPr>
      <w:r>
        <w:rPr>
          <w:sz w:val="28"/>
          <w:szCs w:val="28"/>
        </w:rPr>
        <w:t xml:space="preserve">Evidence File</w:t>
      </w:r>
    </w:p>
    <w:p>
      <w:pPr>
        <w:spacing w:after="120" w:line="276"/>
      </w:pPr>
      <w:r>
        <w:rPr>
          <w:sz w:val="22"/>
          <w:szCs w:val="22"/>
        </w:rPr>
        <w:t xml:space="preserve">Points marked as documented rest on published national sources or on standard engineering references, identified in the point. Points marked as scenario evidence come from people inside this fictional county and are opinions or estimates rather than established facts. One point is marked as reasoning from the scenario, which draws a conclusion from facts already stated in the background rather than reporting a new figure.</w:t>
      </w:r>
    </w:p>
    <w:p>
      <w:pPr>
        <w:keepNext/>
        <w:keepLines/>
        <w:spacing w:after="120" w:line="276"/>
      </w:pPr>
      <w:r>
        <w:rPr>
          <w:b/>
          <w:bCs/>
          <w:sz w:val="22"/>
          <w:szCs w:val="22"/>
        </w:rPr>
        <w:t xml:space="preserve">Case for the ordinance</w:t>
      </w:r>
    </w:p>
    <w:p>
      <w:pPr>
        <w:pStyle w:val="ListParagraph"/>
        <w:keepLines/>
        <w:numPr>
          <w:ilvl w:val="0"/>
          <w:numId w:val="3"/>
        </w:numPr>
        <w:spacing w:after="60" w:line="276"/>
        <w:ind w:left="720" w:hanging="360"/>
      </w:pPr>
      <w:r>
        <w:rPr>
          <w:sz w:val="22"/>
          <w:szCs w:val="22"/>
        </w:rPr>
        <w:t xml:space="preserve">Documented. EPA WaterSense reports that the average US household uses about 300 gallons of water per day, with roughly 70 percent of that used indoors. The remaining outdoor share is the part a cistern can serve, and it is the part that swells in summer.</w:t>
      </w:r>
    </w:p>
    <w:p>
      <w:pPr>
        <w:pStyle w:val="ListParagraph"/>
        <w:keepLines/>
        <w:numPr>
          <w:ilvl w:val="0"/>
          <w:numId w:val="3"/>
        </w:numPr>
        <w:spacing w:after="60" w:line="276"/>
        <w:ind w:left="720" w:hanging="360"/>
      </w:pPr>
      <w:r>
        <w:rPr>
          <w:sz w:val="22"/>
          <w:szCs w:val="22"/>
        </w:rPr>
        <w:t xml:space="preserve">Documented. A standard rainfall conversion used by engineers is roof area in square feet multiplied by rainfall in inches multiplied by 0.623, which gives the gallons of rain that fall on the roof, although a real collection system captures somewhat less than that. A roof of 1,600 square feet therefore sheds about 997 gallons in a single inch of rain, which is more than three times the proposed cistern size.</w:t>
      </w:r>
    </w:p>
    <w:p>
      <w:pPr>
        <w:pStyle w:val="ListParagraph"/>
        <w:keepLines/>
        <w:numPr>
          <w:ilvl w:val="0"/>
          <w:numId w:val="3"/>
        </w:numPr>
        <w:spacing w:after="60" w:line="276"/>
        <w:ind w:left="720" w:hanging="360"/>
      </w:pPr>
      <w:r>
        <w:rPr>
          <w:sz w:val="22"/>
          <w:szCs w:val="22"/>
        </w:rPr>
        <w:t xml:space="preserve">Documented. Standard stormwater design values put the runoff coefficient of pavement near 0.9 and of lawn near 0.2, meaning pavement sends most of the rain that falls on it downstream while lawn sends only a small share. Replacing fields with roofs and driveways raises the peak flow the creek receives, and capturing part of the roof share reduces it.</w:t>
      </w:r>
    </w:p>
    <w:p>
      <w:pPr>
        <w:pStyle w:val="ListParagraph"/>
        <w:keepLines/>
        <w:numPr>
          <w:ilvl w:val="0"/>
          <w:numId w:val="3"/>
        </w:numPr>
        <w:spacing w:after="60" w:line="276"/>
        <w:ind w:left="720" w:hanging="360"/>
      </w:pPr>
      <w:r>
        <w:rPr>
          <w:sz w:val="22"/>
          <w:szCs w:val="22"/>
        </w:rPr>
        <w:t xml:space="preserve">Scenario evidence. The county water district's engineer estimates that meeting the projected summer peak with new supply would require a fourth well and an expansion of the treatment plant, and she describes the cost per household as several times the cost of the required cistern.</w:t>
      </w:r>
    </w:p>
    <w:p>
      <w:pPr>
        <w:pStyle w:val="ListParagraph"/>
        <w:keepLines/>
        <w:numPr>
          <w:ilvl w:val="0"/>
          <w:numId w:val="3"/>
        </w:numPr>
        <w:spacing w:after="60" w:line="276"/>
        <w:ind w:left="720" w:hanging="360"/>
      </w:pPr>
      <w:r>
        <w:rPr>
          <w:sz w:val="22"/>
          <w:szCs w:val="22"/>
        </w:rPr>
        <w:t xml:space="preserve">Scenario evidence. A builder who works in the county testified that installing a cistern during construction costs a fraction of what the same installation costs as a retrofit, because the gutters, grading, and spigot are already being placed.</w:t>
      </w:r>
    </w:p>
    <w:p>
      <w:pPr>
        <w:pStyle w:val="ListParagraph"/>
        <w:keepLines/>
        <w:numPr>
          <w:ilvl w:val="0"/>
          <w:numId w:val="3"/>
        </w:numPr>
        <w:spacing w:after="60" w:line="276"/>
        <w:ind w:left="720" w:hanging="360"/>
      </w:pPr>
      <w:r>
        <w:rPr>
          <w:sz w:val="22"/>
          <w:szCs w:val="22"/>
        </w:rPr>
        <w:t xml:space="preserve">Scenario evidence. The county's stormwater coordinator reports that both washed-out crossings failed during storms following new subdivision construction upstream, and argues that requiring capture at the source is cheaper than enlarging culverts later.</w:t>
      </w:r>
    </w:p>
    <w:p>
      <w:pPr>
        <w:spacing w:after="40" w:before="0" w:line="120" w:lineRule="exact"/>
      </w:pPr>
    </w:p>
    <w:p>
      <w:pPr>
        <w:keepNext/>
        <w:keepLines/>
        <w:spacing w:after="120" w:line="276"/>
      </w:pPr>
      <w:r>
        <w:rPr>
          <w:b/>
          <w:bCs/>
          <w:sz w:val="22"/>
          <w:szCs w:val="22"/>
        </w:rPr>
        <w:t xml:space="preserve">Case against the ordinance</w:t>
      </w:r>
    </w:p>
    <w:p>
      <w:pPr>
        <w:pStyle w:val="ListParagraph"/>
        <w:keepLines/>
        <w:numPr>
          <w:ilvl w:val="0"/>
          <w:numId w:val="4"/>
        </w:numPr>
        <w:spacing w:after="60" w:line="276"/>
        <w:ind w:left="720" w:hanging="360"/>
      </w:pPr>
      <w:r>
        <w:rPr>
          <w:sz w:val="22"/>
          <w:szCs w:val="22"/>
        </w:rPr>
        <w:t xml:space="preserve">Scenario evidence. The regional builders association estimates that the requirement adds cost to every new house in a county where the median buyer is already stretched, and it notes that the ordinance places the entire burden on people who have not moved in yet.</w:t>
      </w:r>
    </w:p>
    <w:p>
      <w:pPr>
        <w:pStyle w:val="ListParagraph"/>
        <w:keepLines/>
        <w:numPr>
          <w:ilvl w:val="0"/>
          <w:numId w:val="4"/>
        </w:numPr>
        <w:spacing w:after="60" w:line="276"/>
        <w:ind w:left="720" w:hanging="360"/>
      </w:pPr>
      <w:r>
        <w:rPr>
          <w:sz w:val="22"/>
          <w:szCs w:val="22"/>
        </w:rPr>
        <w:t xml:space="preserve">Reasoning from the scenario. Peak demand arrives in July, which is also when it rains least. A cistern that has been drawn down through a dry stretch is empty exactly when the district needs the relief, so the measure may reduce annual use without reducing the peak day that drives the need for new supply.</w:t>
      </w:r>
    </w:p>
    <w:p>
      <w:pPr>
        <w:pStyle w:val="ListParagraph"/>
        <w:keepLines/>
        <w:numPr>
          <w:ilvl w:val="0"/>
          <w:numId w:val="4"/>
        </w:numPr>
        <w:spacing w:after="60" w:line="276"/>
        <w:ind w:left="720" w:hanging="360"/>
      </w:pPr>
      <w:r>
        <w:rPr>
          <w:sz w:val="22"/>
          <w:szCs w:val="22"/>
        </w:rPr>
        <w:t xml:space="preserve">Scenario evidence. The county has one building inspector, and the county attorney's memo notes that the county has no written standard for cistern screening, overflow routing, or the separation between cistern plumbing and household plumbing. An unmaintained cistern can breed mosquitoes, and an improper connection can send untreated water into a house.</w:t>
      </w:r>
    </w:p>
    <w:p>
      <w:pPr>
        <w:pStyle w:val="ListParagraph"/>
        <w:keepLines/>
        <w:numPr>
          <w:ilvl w:val="0"/>
          <w:numId w:val="4"/>
        </w:numPr>
        <w:spacing w:after="60" w:line="276"/>
        <w:ind w:left="720" w:hanging="360"/>
      </w:pPr>
      <w:r>
        <w:rPr>
          <w:sz w:val="22"/>
          <w:szCs w:val="22"/>
        </w:rPr>
        <w:t xml:space="preserve">Documented. Because roughly 70 percent of household use is indoors according to EPA WaterSense, the largest share of demand is beyond what an outdoor-only cistern can touch. The Water Research Foundation's 2016 study of single-family homes found that toilets accounted for about 24 percent of indoor use, and the ordinance does nothing about that.</w:t>
      </w:r>
    </w:p>
    <w:p>
      <w:pPr>
        <w:pStyle w:val="ListParagraph"/>
        <w:keepLines/>
        <w:numPr>
          <w:ilvl w:val="0"/>
          <w:numId w:val="4"/>
        </w:numPr>
        <w:spacing w:after="60" w:line="276"/>
        <w:ind w:left="720" w:hanging="360"/>
      </w:pPr>
      <w:r>
        <w:rPr>
          <w:sz w:val="22"/>
          <w:szCs w:val="22"/>
        </w:rPr>
        <w:t xml:space="preserve">Documented. EPA WaterSense reports that household leaks waste an average of about 180 gallons per week, close to 9,400 gallons per year. A leak detection and repair rebate reaches every house in the county rather than only the newest ones, so the negative can argue that the same effort buys more water saved.</w:t>
      </w:r>
    </w:p>
    <w:p>
      <w:pPr>
        <w:pStyle w:val="ListParagraph"/>
        <w:keepLines/>
        <w:numPr>
          <w:ilvl w:val="0"/>
          <w:numId w:val="4"/>
        </w:numPr>
        <w:spacing w:after="60" w:line="276"/>
        <w:ind w:left="720" w:hanging="360"/>
      </w:pPr>
      <w:r>
        <w:rPr>
          <w:sz w:val="22"/>
          <w:szCs w:val="22"/>
        </w:rPr>
        <w:t xml:space="preserve">Scenario evidence. The district's operations manager says that the nine hundred houses built each year are a small fraction of the county's housing stock, so even full compliance changes the system slowly, while the creek crossings need attention now.</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Cardwell County's Cistern Ordinance: A Grade 10 Debate Kit</w:t>
      </w:r>
    </w:p>
    <w:p>
      <w:pPr>
        <w:keepNext/>
        <w:spacing w:after="160"/>
      </w:pPr>
      <w:r>
        <w:rPr>
          <w:color w:val="5B6B70"/>
          <w:sz w:val="20"/>
          <w:szCs w:val="20"/>
        </w:rPr>
        <w:t xml:space="preserve">Debate kit · Grade 10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89"/>
        <w:gridCol w:w="3035"/>
        <w:gridCol w:w="3429"/>
        <w:gridCol w:w="341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289"/>
            <w:tcMar>
              <w:top w:type="dxa" w:w="70"/>
              <w:left w:type="dxa" w:w="100"/>
              <w:bottom w:type="dxa" w:w="70"/>
              <w:right w:type="dxa" w:w="100"/>
            </w:tcMar>
            <w:vAlign w:val="top"/>
          </w:tcPr>
          <w:p>
            <w:pPr>
              <w:keepNext/>
              <w:spacing w:after="0" w:line="252"/>
              <w:jc w:val="left"/>
            </w:pPr>
            <w:r>
              <w:rPr>
                <w:sz w:val="20"/>
                <w:szCs w:val="20"/>
              </w:rPr>
              <w:t xml:space="preserve">Cites little from the file and relies on general opinion.</w:t>
            </w:r>
          </w:p>
        </w:tc>
        <w:tc>
          <w:tcPr>
            <w:tcW w:type="dxa" w:w="3035"/>
            <w:tcMar>
              <w:top w:type="dxa" w:w="70"/>
              <w:left w:type="dxa" w:w="100"/>
              <w:bottom w:type="dxa" w:w="70"/>
              <w:right w:type="dxa" w:w="100"/>
            </w:tcMar>
            <w:vAlign w:val="top"/>
          </w:tcPr>
          <w:p>
            <w:pPr>
              <w:keepNext/>
              <w:spacing w:after="0" w:line="252"/>
              <w:jc w:val="left"/>
            </w:pPr>
            <w:r>
              <w:rPr>
                <w:sz w:val="20"/>
                <w:szCs w:val="20"/>
              </w:rPr>
              <w:t xml:space="preserve">Cites evidence but does not distinguish documented figures from scenario estimates.</w:t>
            </w:r>
          </w:p>
        </w:tc>
        <w:tc>
          <w:tcPr>
            <w:tcW w:type="dxa" w:w="3429"/>
            <w:tcMar>
              <w:top w:type="dxa" w:w="70"/>
              <w:left w:type="dxa" w:w="100"/>
              <w:bottom w:type="dxa" w:w="70"/>
              <w:right w:type="dxa" w:w="100"/>
            </w:tcMar>
            <w:vAlign w:val="top"/>
          </w:tcPr>
          <w:p>
            <w:pPr>
              <w:keepNext/>
              <w:spacing w:after="0" w:line="252"/>
              <w:jc w:val="left"/>
            </w:pPr>
            <w:r>
              <w:rPr>
                <w:sz w:val="20"/>
                <w:szCs w:val="20"/>
              </w:rPr>
              <w:t xml:space="preserve">Cites at least three points accurately and labels each as documented or scenario evidence.</w:t>
            </w:r>
          </w:p>
        </w:tc>
        <w:tc>
          <w:tcPr>
            <w:tcW w:type="dxa" w:w="3419"/>
            <w:tcMar>
              <w:top w:type="dxa" w:w="70"/>
              <w:left w:type="dxa" w:w="100"/>
              <w:bottom w:type="dxa" w:w="70"/>
              <w:right w:type="dxa" w:w="100"/>
            </w:tcMar>
            <w:vAlign w:val="top"/>
          </w:tcPr>
          <w:p>
            <w:pPr>
              <w:keepNext/>
              <w:spacing w:after="0" w:line="252"/>
              <w:jc w:val="left"/>
            </w:pPr>
            <w:r>
              <w:rPr>
                <w:sz w:val="20"/>
                <w:szCs w:val="20"/>
              </w:rPr>
              <w:t xml:space="preserve">Selects evidence for the work it does in the argument and explains why a documented figure outweighs an estimate.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Reasoning</w:t>
            </w:r>
          </w:p>
        </w:tc>
        <w:tc>
          <w:tcPr>
            <w:tcW w:type="dxa" w:w="2289"/>
            <w:tcMar>
              <w:top w:type="dxa" w:w="70"/>
              <w:left w:type="dxa" w:w="100"/>
              <w:bottom w:type="dxa" w:w="70"/>
              <w:right w:type="dxa" w:w="100"/>
            </w:tcMar>
            <w:vAlign w:val="top"/>
          </w:tcPr>
          <w:p>
            <w:pPr>
              <w:keepNext/>
              <w:spacing w:after="0" w:line="252"/>
              <w:jc w:val="left"/>
            </w:pPr>
            <w:r>
              <w:rPr>
                <w:sz w:val="20"/>
                <w:szCs w:val="20"/>
              </w:rPr>
              <w:t xml:space="preserve">Asserts conclusions without connecting them to evidence.</w:t>
            </w:r>
          </w:p>
        </w:tc>
        <w:tc>
          <w:tcPr>
            <w:tcW w:type="dxa" w:w="3035"/>
            <w:tcMar>
              <w:top w:type="dxa" w:w="70"/>
              <w:left w:type="dxa" w:w="100"/>
              <w:bottom w:type="dxa" w:w="70"/>
              <w:right w:type="dxa" w:w="100"/>
            </w:tcMar>
            <w:vAlign w:val="top"/>
          </w:tcPr>
          <w:p>
            <w:pPr>
              <w:keepNext/>
              <w:spacing w:after="0" w:line="252"/>
              <w:jc w:val="left"/>
            </w:pPr>
            <w:r>
              <w:rPr>
                <w:sz w:val="20"/>
                <w:szCs w:val="20"/>
              </w:rPr>
              <w:t xml:space="preserve">Connects some evidence to claims, with gaps the other side can exploit.</w:t>
            </w:r>
          </w:p>
        </w:tc>
        <w:tc>
          <w:tcPr>
            <w:tcW w:type="dxa" w:w="3429"/>
            <w:tcMar>
              <w:top w:type="dxa" w:w="70"/>
              <w:left w:type="dxa" w:w="100"/>
              <w:bottom w:type="dxa" w:w="70"/>
              <w:right w:type="dxa" w:w="100"/>
            </w:tcMar>
            <w:vAlign w:val="top"/>
          </w:tcPr>
          <w:p>
            <w:pPr>
              <w:keepNext/>
              <w:spacing w:after="0" w:line="252"/>
              <w:jc w:val="left"/>
            </w:pPr>
            <w:r>
              <w:rPr>
                <w:sz w:val="20"/>
                <w:szCs w:val="20"/>
              </w:rPr>
              <w:t xml:space="preserve">Explains how each piece of evidence supports the claim it is offered for.</w:t>
            </w:r>
          </w:p>
        </w:tc>
        <w:tc>
          <w:tcPr>
            <w:tcW w:type="dxa" w:w="3419"/>
            <w:tcMar>
              <w:top w:type="dxa" w:w="70"/>
              <w:left w:type="dxa" w:w="100"/>
              <w:bottom w:type="dxa" w:w="70"/>
              <w:right w:type="dxa" w:w="100"/>
            </w:tcMar>
            <w:vAlign w:val="top"/>
          </w:tcPr>
          <w:p>
            <w:pPr>
              <w:keepNext/>
              <w:spacing w:after="0" w:line="252"/>
              <w:jc w:val="left"/>
            </w:pPr>
            <w:r>
              <w:rPr>
                <w:sz w:val="20"/>
                <w:szCs w:val="20"/>
              </w:rPr>
              <w:t xml:space="preserve">Anticipates the limits of its own evidence and states the conditions under which the argument would fail.</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2289"/>
            <w:tcMar>
              <w:top w:type="dxa" w:w="70"/>
              <w:left w:type="dxa" w:w="100"/>
              <w:bottom w:type="dxa" w:w="70"/>
              <w:right w:type="dxa" w:w="100"/>
            </w:tcMar>
            <w:vAlign w:val="top"/>
          </w:tcPr>
          <w:p>
            <w:pPr>
              <w:keepNext/>
              <w:spacing w:after="0" w:line="252"/>
              <w:jc w:val="left"/>
            </w:pPr>
            <w:r>
              <w:rPr>
                <w:sz w:val="20"/>
                <w:szCs w:val="20"/>
              </w:rPr>
              <w:t xml:space="preserve">Repeats the constructive speech instead of answering.</w:t>
            </w:r>
          </w:p>
        </w:tc>
        <w:tc>
          <w:tcPr>
            <w:tcW w:type="dxa" w:w="3035"/>
            <w:tcMar>
              <w:top w:type="dxa" w:w="70"/>
              <w:left w:type="dxa" w:w="100"/>
              <w:bottom w:type="dxa" w:w="70"/>
              <w:right w:type="dxa" w:w="100"/>
            </w:tcMar>
            <w:vAlign w:val="top"/>
          </w:tcPr>
          <w:p>
            <w:pPr>
              <w:keepNext/>
              <w:spacing w:after="0" w:line="252"/>
              <w:jc w:val="left"/>
            </w:pPr>
            <w:r>
              <w:rPr>
                <w:sz w:val="20"/>
                <w:szCs w:val="20"/>
              </w:rPr>
              <w:t xml:space="preserve">Answers the opposing conclusion without addressing its reasoning.</w:t>
            </w:r>
          </w:p>
        </w:tc>
        <w:tc>
          <w:tcPr>
            <w:tcW w:type="dxa" w:w="3429"/>
            <w:tcMar>
              <w:top w:type="dxa" w:w="70"/>
              <w:left w:type="dxa" w:w="100"/>
              <w:bottom w:type="dxa" w:w="70"/>
              <w:right w:type="dxa" w:w="100"/>
            </w:tcMar>
            <w:vAlign w:val="top"/>
          </w:tcPr>
          <w:p>
            <w:pPr>
              <w:keepNext/>
              <w:spacing w:after="0" w:line="252"/>
              <w:jc w:val="left"/>
            </w:pPr>
            <w:r>
              <w:rPr>
                <w:sz w:val="20"/>
                <w:szCs w:val="20"/>
              </w:rPr>
              <w:t xml:space="preserve">Identifies the opposing argument's weakest link and answers that link directly.</w:t>
            </w:r>
          </w:p>
        </w:tc>
        <w:tc>
          <w:tcPr>
            <w:tcW w:type="dxa" w:w="3419"/>
            <w:tcMar>
              <w:top w:type="dxa" w:w="70"/>
              <w:left w:type="dxa" w:w="100"/>
              <w:bottom w:type="dxa" w:w="70"/>
              <w:right w:type="dxa" w:w="100"/>
            </w:tcMar>
            <w:vAlign w:val="top"/>
          </w:tcPr>
          <w:p>
            <w:pPr>
              <w:keepNext/>
              <w:spacing w:after="0" w:line="252"/>
              <w:jc w:val="left"/>
            </w:pPr>
            <w:r>
              <w:rPr>
                <w:sz w:val="20"/>
                <w:szCs w:val="20"/>
              </w:rPr>
              <w:t xml:space="preserve">Concedes what is true in the opposing case and shows why the remainder does not decide the resolution.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289"/>
            <w:tcMar>
              <w:top w:type="dxa" w:w="70"/>
              <w:left w:type="dxa" w:w="100"/>
              <w:bottom w:type="dxa" w:w="70"/>
              <w:right w:type="dxa" w:w="100"/>
            </w:tcMar>
            <w:vAlign w:val="top"/>
          </w:tcPr>
          <w:p>
            <w:pPr>
              <w:spacing w:after="0" w:line="252"/>
              <w:jc w:val="left"/>
            </w:pPr>
            <w:r>
              <w:rPr>
                <w:sz w:val="20"/>
                <w:szCs w:val="20"/>
              </w:rPr>
              <w:t xml:space="preserve">Hard to follow; time is used poorly.</w:t>
            </w:r>
          </w:p>
        </w:tc>
        <w:tc>
          <w:tcPr>
            <w:tcW w:type="dxa" w:w="3035"/>
            <w:tcMar>
              <w:top w:type="dxa" w:w="70"/>
              <w:left w:type="dxa" w:w="100"/>
              <w:bottom w:type="dxa" w:w="70"/>
              <w:right w:type="dxa" w:w="100"/>
            </w:tcMar>
            <w:vAlign w:val="top"/>
          </w:tcPr>
          <w:p>
            <w:pPr>
              <w:spacing w:after="0" w:line="252"/>
              <w:jc w:val="left"/>
            </w:pPr>
            <w:r>
              <w:rPr>
                <w:sz w:val="20"/>
                <w:szCs w:val="20"/>
              </w:rPr>
              <w:t xml:space="preserve">Order is followable; time management is uneven.</w:t>
            </w:r>
          </w:p>
        </w:tc>
        <w:tc>
          <w:tcPr>
            <w:tcW w:type="dxa" w:w="3429"/>
            <w:tcMar>
              <w:top w:type="dxa" w:w="70"/>
              <w:left w:type="dxa" w:w="100"/>
              <w:bottom w:type="dxa" w:w="70"/>
              <w:right w:type="dxa" w:w="100"/>
            </w:tcMar>
            <w:vAlign w:val="top"/>
          </w:tcPr>
          <w:p>
            <w:pPr>
              <w:spacing w:after="0" w:line="252"/>
              <w:jc w:val="left"/>
            </w:pPr>
            <w:r>
              <w:rPr>
                <w:sz w:val="20"/>
                <w:szCs w:val="20"/>
              </w:rPr>
              <w:t xml:space="preserve">Signposted structure, clear transitions, and speeches that fit the time.</w:t>
            </w:r>
          </w:p>
        </w:tc>
        <w:tc>
          <w:tcPr>
            <w:tcW w:type="dxa" w:w="3419"/>
            <w:tcMar>
              <w:top w:type="dxa" w:w="70"/>
              <w:left w:type="dxa" w:w="100"/>
              <w:bottom w:type="dxa" w:w="70"/>
              <w:right w:type="dxa" w:w="100"/>
            </w:tcMar>
            <w:vAlign w:val="top"/>
          </w:tcPr>
          <w:p>
            <w:pPr>
              <w:spacing w:after="0" w:line="252"/>
              <w:jc w:val="left"/>
            </w:pPr>
            <w:r>
              <w:rPr>
                <w:sz w:val="20"/>
                <w:szCs w:val="20"/>
              </w:rPr>
              <w:t xml:space="preserve">Structure adapts to what the other side actually said, without losing the prepared case.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Cardwell County's Cistern Ordinance: A Grade 10 Debate Kit</dc:title>
  <dc:subject>Debate kit · Grade 10 · English Language Arts</dc:subject>
  <dc:creator>Water for Schools</dc:creator>
  <cp:keywords>Debate kit, Grade 10, English Language Arts</cp:keywords>
  <dc:description>A structured debate on requiring rainwater cisterns in new homes, with a resolution, role notes, two-sided evidence with named sources, and a four-level rubric.</dc:description>
  <cp:lastModifiedBy>Water for Schools</cp:lastModifiedBy>
  <cp:revision>1</cp:revision>
  <dcterms:created xsi:type="dcterms:W3CDTF">2026-10-19T16:28:54.502Z</dcterms:created>
  <dcterms:modified xsi:type="dcterms:W3CDTF">2026-10-19T16:28:54.502Z</dcterms:modified>
</cp:coreProperties>
</file>

<file path=docProps/custom.xml><?xml version="1.0" encoding="utf-8"?>
<Properties xmlns="http://schemas.openxmlformats.org/officeDocument/2006/custom-properties" xmlns:vt="http://schemas.openxmlformats.org/officeDocument/2006/docPropsVTypes"/>
</file>