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Havenbrook Water Explainer: A Research Writing Project</w:t>
      </w:r>
    </w:p>
    <w:p>
      <w:pPr>
        <w:keepNext/>
        <w:spacing w:after="160"/>
      </w:pPr>
      <w:r>
        <w:rPr>
          <w:color w:val="5B6B70"/>
          <w:sz w:val="20"/>
          <w:szCs w:val="20"/>
        </w:rPr>
        <w:t xml:space="preserve">Project · Grade 10 · English Language Arts</w:t>
      </w:r>
    </w:p>
    <w:p>
      <w:pPr>
        <w:spacing w:after="100" w:line="264"/>
      </w:pPr>
      <w:r>
        <w:rPr>
          <w:i/>
          <w:iCs/>
          <w:color w:val="12333F"/>
          <w:sz w:val="22"/>
          <w:szCs w:val="22"/>
        </w:rPr>
        <w:t xml:space="preserve">A five-session grade 10 project in which teams turn a four-document utility packet into a four-page plain-language explainer and present it to a library board.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275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copy of the source packet (Documents 1 to 4 in the Project Brief) for each team</w:t>
            </w:r>
          </w:p>
          <w:p>
            <w:pPr>
              <w:spacing w:after="0"/>
            </w:pPr>
            <w:r>
              <w:rPr>
                <w:sz w:val="20"/>
                <w:szCs w:val="20"/>
              </w:rPr>
              <w:t xml:space="preserve">• Poster board or slide software</w:t>
            </w:r>
          </w:p>
          <w:p>
            <w:pPr>
              <w:spacing w:after="0"/>
            </w:pPr>
            <w:r>
              <w:rPr>
                <w:sz w:val="20"/>
                <w:szCs w:val="20"/>
              </w:rPr>
              <w:t xml:space="preserve">• Rulers or a layout template</w:t>
            </w:r>
          </w:p>
          <w:p>
            <w:pPr>
              <w:spacing w:after="0"/>
            </w:pPr>
            <w:r>
              <w:rPr>
                <w:sz w:val="20"/>
                <w:szCs w:val="20"/>
              </w:rPr>
              <w:t xml:space="preserve">• Graph paper or spreadsheet software for the chart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synthesize four utility documents and one located source into a single explanation.</w:t>
      </w:r>
    </w:p>
    <w:p>
      <w:pPr>
        <w:pStyle w:val="ListParagraph"/>
        <w:keepNext/>
        <w:keepLines/>
        <w:numPr>
          <w:ilvl w:val="0"/>
          <w:numId w:val="2"/>
        </w:numPr>
        <w:spacing w:after="60" w:line="264"/>
        <w:ind w:left="720" w:hanging="360"/>
      </w:pPr>
      <w:r>
        <w:rPr>
          <w:sz w:val="22"/>
          <w:szCs w:val="22"/>
        </w:rPr>
        <w:t xml:space="preserve">Students will define technical water terms in plain language without losing accuracy.</w:t>
      </w:r>
    </w:p>
    <w:p>
      <w:pPr>
        <w:pStyle w:val="ListParagraph"/>
        <w:keepLines/>
        <w:numPr>
          <w:ilvl w:val="0"/>
          <w:numId w:val="2"/>
        </w:numPr>
        <w:spacing w:after="60" w:line="264"/>
        <w:ind w:left="720" w:hanging="360"/>
      </w:pPr>
      <w:r>
        <w:rPr>
          <w:sz w:val="22"/>
          <w:szCs w:val="22"/>
        </w:rPr>
        <w:t xml:space="preserve">Students will produce a four-page explainer that answers questions residents asked at a public meeting.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W.9-10.7 (Common Core ELA)</w:t>
      </w:r>
      <w:r>
        <w:rPr>
          <w:sz w:val="22"/>
          <w:szCs w:val="22"/>
        </w:rPr>
        <w:t xml:space="preserve">: Conduct short as well as more sustained research projects to answer a question (including a self-generated question) or solve a problem; narrow or broaden the inquiry when appropriate; synthesize multiple sources on the subject, demonstrating understanding of the subject under investigation.</w:t>
      </w:r>
    </w:p>
    <w:p>
      <w:pPr>
        <w:spacing w:after="100" w:line="264"/>
        <w:ind w:left="360"/>
      </w:pPr>
      <w:r>
        <w:rPr>
          <w:i/>
          <w:iCs/>
          <w:color w:val="5B6B70"/>
          <w:sz w:val="20"/>
          <w:szCs w:val="20"/>
        </w:rPr>
        <w:t xml:space="preserve">How this material addresses it: Milestone 2 requires teams to narrow their question set and synthesize the four packet documents with one located outside source, judging each source's reliability in writing.</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The four-page explainer selects and organizes technical content from the packet into an accurate account a general reader can follow, including a required glossary.</w:t>
      </w:r>
    </w:p>
    <w:p>
      <w:pPr>
        <w:pStyle w:val="Heading2"/>
        <w:keepNext/>
        <w:keepLines/>
      </w:pPr>
      <w:r>
        <w:rPr>
          <w:sz w:val="28"/>
          <w:szCs w:val="28"/>
        </w:rPr>
        <w:t xml:space="preserve">Vocabulary</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spacing w:after="100" w:line="264"/>
      </w:pPr>
      <w:r>
        <w:rPr>
          <w:b/>
          <w:bCs/>
          <w:sz w:val="22"/>
          <w:szCs w:val="22"/>
        </w:rPr>
        <w:t xml:space="preserve">Also: </w:t>
      </w:r>
      <w:r>
        <w:rPr>
          <w:sz w:val="22"/>
          <w:szCs w:val="22"/>
        </w:rPr>
        <w:t xml:space="preserve">consumer confidence report, 90th percentile, capital plan, rate increase, glossary, source evaluation</w:t>
      </w:r>
    </w:p>
    <w:p>
      <w:pPr>
        <w:pStyle w:val="Heading2"/>
        <w:keepNext/>
        <w:keepLines/>
      </w:pPr>
      <w:r>
        <w:rPr>
          <w:sz w:val="28"/>
          <w:szCs w:val="28"/>
        </w:rPr>
        <w:t xml:space="preserve">Teacher overview</w:t>
      </w:r>
    </w:p>
    <w:p>
      <w:pPr>
        <w:spacing w:after="100" w:line="264"/>
      </w:pPr>
      <w:r>
        <w:rPr>
          <w:sz w:val="22"/>
          <w:szCs w:val="22"/>
        </w:rPr>
        <w:t xml:space="preserve">Community water systems are required to deliver an annual water quality report to their customers, and utilities generally report that few customers read one all the way through. This project asks teams to address that problem for a fictional utility by turning a packet of its documents into a four-page explainer for a library display, then presenting it to a panel. The driving question is what a household actually needs to know about its water, and the constraint that makes the project hard is the page limit, which forces teams to decide what to leave out.</w:t>
      </w:r>
    </w:p>
    <w:p>
      <w:pPr>
        <w:spacing w:after="100" w:line="264"/>
      </w:pPr>
      <w:r>
        <w:rPr>
          <w:sz w:val="22"/>
          <w:szCs w:val="22"/>
        </w:rPr>
        <w:t xml:space="preserve">The complete source packet is printed in the Project Brief below, so the only preparation is copying it (about four pages per team), arranging a panel of three adults or students to act as the library board, and reviewing the teacher reference that follows the rubric. The packet contains two points where the documents and the outside rules do not line up neatly: the coming change to the lead action level and the federal deadline for the new PFAS limits. The strongest teams will show their reasoning on those two points.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Assign these teams three resident questions rather than five, chosen from Q2, Q4, Q6, and Q9, which the packet answers fully. Give them a glossary starter with four terms already selected (action level, 90th percentile, service line, and capital plan). Provide a page map template with the four pages divided into labeled blocks, and a bar chart frame with the years 2021 through 2025 already marked on the horizontal axis and main breaks from 0 to 60 marked on the vertical axis, so the team plots the five values from Document 2 rather than designing the chart from scratch.</w:t>
      </w:r>
    </w:p>
    <w:p>
      <w:pPr>
        <w:pStyle w:val="Heading3"/>
        <w:keepNext/>
        <w:keepLines/>
      </w:pPr>
      <w:r>
        <w:rPr>
          <w:sz w:val="24"/>
          <w:szCs w:val="24"/>
        </w:rPr>
        <w:t xml:space="preserve">Extension</w:t>
      </w:r>
    </w:p>
    <w:p>
      <w:pPr>
        <w:spacing w:after="100" w:line="264"/>
      </w:pPr>
      <w:r>
        <w:rPr>
          <w:sz w:val="22"/>
          <w:szCs w:val="22"/>
        </w:rPr>
        <w:t xml:space="preserve">Ask these teams to produce a second version of one page for a reader who has just moved to town and speaks English as a second language, then write a short memo on what they changed and why. A further option is to write the one-paragraph cover note the utility would send with the display, addressed to the library board, explaining how the explainer handles the coming change to the lead action level.</w:t>
      </w:r>
    </w:p>
    <w:p>
      <w:pPr>
        <w:pStyle w:val="Heading3"/>
        <w:keepNext/>
        <w:keepLines/>
      </w:pPr>
      <w:r>
        <w:rPr>
          <w:sz w:val="24"/>
          <w:szCs w:val="24"/>
        </w:rPr>
        <w:t xml:space="preserve">ELL supports</w:t>
      </w:r>
    </w:p>
    <w:p>
      <w:pPr>
        <w:spacing w:after="100" w:line="264"/>
      </w:pPr>
      <w:r>
        <w:rPr>
          <w:sz w:val="22"/>
          <w:szCs w:val="22"/>
        </w:rPr>
        <w:t xml:space="preserve">Pre-teach report, level, standard, percentile, capital, and rate with the packet documents open to the relevant line. Provide a bilingual glossary template with the plain definition column separated from the technical wording column, and allow the three-minute presentation to be delivered from a written script or shared among more speakers.</w:t>
      </w:r>
    </w:p>
    <w:p>
      <w:pPr>
        <w:pStyle w:val="Heading2"/>
        <w:keepNext/>
        <w:keepLines/>
      </w:pPr>
      <w:r>
        <w:rPr>
          <w:sz w:val="28"/>
          <w:szCs w:val="28"/>
        </w:rPr>
        <w:t xml:space="preserve">Extensions</w:t>
      </w:r>
    </w:p>
    <w:p>
      <w:pPr>
        <w:spacing w:after="100" w:line="264"/>
      </w:pPr>
      <w:r>
        <w:rPr>
          <w:sz w:val="22"/>
          <w:szCs w:val="22"/>
        </w:rPr>
        <w:t xml:space="preserve">Have teams send their finished explainer to their own city or water district and ask whether any of it could be reused, then report back on the response. A related follow-on has students compare their explainer with the real annual report their utility publishes and write a paragraph on one thing the real report does better.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Havenbrook Water Explainer: A Research Writing Project</w:t>
      </w:r>
    </w:p>
    <w:p>
      <w:pPr>
        <w:keepNext/>
        <w:spacing w:after="160"/>
      </w:pPr>
      <w:r>
        <w:rPr>
          <w:color w:val="5B6B70"/>
          <w:sz w:val="20"/>
          <w:szCs w:val="20"/>
        </w:rPr>
        <w:t xml:space="preserve">Grade 10 · English Language Arts</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What does a Havenbrook household actually need to know about its water, and how do we say it in four pages?</w:t>
      </w:r>
    </w:p>
    <w:p>
      <w:pPr>
        <w:spacing w:after="120" w:line="276"/>
      </w:pPr>
      <w:r>
        <w:rPr>
          <w:b/>
          <w:bCs/>
          <w:sz w:val="22"/>
          <w:szCs w:val="22"/>
        </w:rPr>
        <w:t xml:space="preserve">The client.</w:t>
      </w:r>
      <w:r>
        <w:rPr>
          <w:sz w:val="22"/>
          <w:szCs w:val="22"/>
        </w:rPr>
        <w:t xml:space="preserve"> Havenbrook Municipal Water is a fictional utility serving a fictional town of about twenty-two thousand people. Its communications staff reports that almost no one reads the annual water quality report it mails each June. The fictional Havenbrook Public Library has offered a display case for one month. Your team is writing what goes in it.</w:t>
      </w:r>
    </w:p>
    <w:p>
      <w:pPr>
        <w:spacing w:after="120" w:line="276"/>
      </w:pPr>
      <w:r>
        <w:rPr>
          <w:b/>
          <w:bCs/>
          <w:sz w:val="22"/>
          <w:szCs w:val="22"/>
        </w:rPr>
        <w:t xml:space="preserve">The source packet.</w:t>
      </w:r>
      <w:r>
        <w:rPr>
          <w:sz w:val="22"/>
          <w:szCs w:val="22"/>
        </w:rPr>
        <w:t xml:space="preserve"> Every team works from the same four documents, printed below. Havenbrook, its utility, its staff, and every resident named in the packet are fictional, and the documents were written for this project. They are written the way real documents of their kind are written, and they are condensed so the packet fits on a few pages.</w:t>
      </w:r>
    </w:p>
    <w:p>
      <w:pPr>
        <w:spacing w:after="120" w:line="276"/>
      </w:pPr>
      <w:r>
        <w:rPr>
          <w:b/>
          <w:bCs/>
          <w:sz w:val="22"/>
          <w:szCs w:val="22"/>
        </w:rPr>
        <w:t xml:space="preserve">The outside source.</w:t>
      </w:r>
      <w:r>
        <w:rPr>
          <w:sz w:val="22"/>
          <w:szCs w:val="22"/>
        </w:rPr>
        <w:t xml:space="preserve"> Each team must also locate and use one source from outside the packet. Use your own state's drinking water program page, a federal drinking water page, or a published report from a professional association. Two real facts you may find useful are that the lead action level is 15 parts per billion, dropping to 10 parts per billion in 2027 under the Lead and Copper Rule Improvements, and that the 2025 infrastructure report card from the American Society of Civil Engineers gave United States drinking water a grade of C minus. Cite the source you use, not this brief.</w:t>
      </w:r>
    </w:p>
    <w:p>
      <w:pPr>
        <w:spacing w:after="120" w:line="276"/>
      </w:pPr>
      <w:r>
        <w:rPr>
          <w:b/>
          <w:bCs/>
          <w:sz w:val="22"/>
          <w:szCs w:val="22"/>
        </w:rPr>
        <w:t xml:space="preserve">Constraints.</w:t>
      </w:r>
      <w:r>
        <w:rPr>
          <w:sz w:val="22"/>
          <w:szCs w:val="22"/>
        </w:rPr>
        <w:t xml:space="preserve"> Your explainer must fit on four pages and no more. It must answer at least five of the nine resident questions in Document 4, and it must say which document each answer came from. It must include a glossary of at least eight terms, each defined in one or two plain sentences. It must include one chart or diagram that you build from numbers in the packet, such as the main break counts or the replacement schedule in Document 2, or the bill comparison in Document 3. It must state at least one thing the utility does not know or cannot promise. It must avoid alarming language that the packet does not support, and it must avoid reassuring language the packet does not support either. Every term in the glossary must be used somewhere in the explainer.</w:t>
      </w:r>
    </w:p>
    <w:p>
      <w:pPr>
        <w:spacing w:after="120" w:line="276"/>
      </w:pPr>
      <w:r>
        <w:rPr>
          <w:b/>
          <w:bCs/>
          <w:sz w:val="22"/>
          <w:szCs w:val="22"/>
        </w:rPr>
        <w:t xml:space="preserve">The deliverable.</w:t>
      </w:r>
      <w:r>
        <w:rPr>
          <w:sz w:val="22"/>
          <w:szCs w:val="22"/>
        </w:rPr>
        <w:t xml:space="preserve"> Each team turns in the finished four-page explainer, a works cited page that does not count against the page limit, and a three-minute presentation to a panel acting as the library board. The panel will ask one question about a choice your team made, so be ready to explain what you cut and why.</w:t>
      </w:r>
    </w:p>
    <w:p>
      <w:pPr>
        <w:pStyle w:val="Heading3"/>
        <w:keepNext/>
        <w:keepLines/>
      </w:pPr>
      <w:r>
        <w:rPr>
          <w:sz w:val="24"/>
          <w:szCs w:val="24"/>
        </w:rPr>
        <w:t xml:space="preserve">Source packet</w:t>
      </w:r>
    </w:p>
    <w:p>
      <w:pPr>
        <w:keepNext/>
        <w:keepLines/>
        <w:spacing w:after="120" w:line="276"/>
      </w:pPr>
      <w:r>
        <w:rPr>
          <w:b/>
          <w:bCs/>
          <w:sz w:val="22"/>
          <w:szCs w:val="22"/>
        </w:rPr>
        <w:t xml:space="preserve">Document 1. Havenbrook Municipal Water, 2025 Water Quality Report (pages 2 and 3, condensed)</w:t>
      </w:r>
    </w:p>
    <w:p>
      <w:pPr>
        <w:spacing w:after="120" w:line="276"/>
      </w:pPr>
      <w:r>
        <w:rPr>
          <w:i/>
          <w:iCs/>
          <w:sz w:val="22"/>
          <w:szCs w:val="22"/>
        </w:rPr>
        <w:t xml:space="preserve">Covers water delivered from January through December 2025. Printed June 2026.</w:t>
      </w:r>
    </w:p>
    <w:p>
      <w:pPr>
        <w:spacing w:after="120" w:line="276"/>
      </w:pPr>
      <w:r>
        <w:rPr>
          <w:sz w:val="22"/>
          <w:szCs w:val="22"/>
        </w:rPr>
        <w:t xml:space="preserve">Where your water comes from. About 70 percent of Havenbrook's water comes from the Ashby River and is treated at the Ridgeline Treatment Plant, where it is filtered and disinfected. The other 30 percent comes from three wells on the north side of town. Well 3 supplies part of the water for neighborhoods north of Route 9.</w:t>
      </w:r>
    </w:p>
    <w:p>
      <w:pPr>
        <w:keepNext/>
        <w:keepLines/>
        <w:spacing w:after="120" w:line="276"/>
      </w:pPr>
      <w:r>
        <w:rPr>
          <w:sz w:val="22"/>
          <w:szCs w:val="22"/>
        </w:rPr>
        <w:t xml:space="preserve">How to read the table. The "limit" column shows the federal standard. A result can meet the standard and still be worth understanding, so read the notes below the table as well as the last column.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395"/>
        <w:gridCol w:w="2300"/>
        <w:gridCol w:w="1464"/>
        <w:gridCol w:w="1260"/>
        <w:gridCol w:w="1924"/>
        <w:gridCol w:w="1737"/>
      </w:tblGrid>
      <w:tr>
        <w:trPr>
          <w:cantSplit/>
          <w:tblHeader/>
        </w:trPr>
        <w:tc>
          <w:tcPr>
            <w:tcW w:type="dxa" w:w="139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Substance (unit)</w:t>
            </w:r>
          </w:p>
        </w:tc>
        <w:tc>
          <w:tcPr>
            <w:tcW w:type="dxa" w:w="23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Limit</w:t>
            </w:r>
          </w:p>
        </w:tc>
        <w:tc>
          <w:tcPr>
            <w:tcW w:type="dxa" w:w="146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Havenbrook result</w:t>
            </w:r>
          </w:p>
        </w:tc>
        <w:tc>
          <w:tcPr>
            <w:tcW w:type="dxa" w:w="126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Range of samples</w:t>
            </w:r>
          </w:p>
        </w:tc>
        <w:tc>
          <w:tcPr>
            <w:tcW w:type="dxa" w:w="192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Met the standard?</w:t>
            </w:r>
          </w:p>
        </w:tc>
        <w:tc>
          <w:tcPr>
            <w:tcW w:type="dxa" w:w="173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Usual source</w:t>
            </w:r>
          </w:p>
        </w:tc>
      </w:tr>
      <w:tr>
        <w:trPr>
          <w:cantSplit/>
        </w:trPr>
        <w:tc>
          <w:tcPr>
            <w:tcW w:type="dxa" w:w="1395"/>
            <w:tcMar>
              <w:top w:type="dxa" w:w="70"/>
              <w:left w:type="dxa" w:w="100"/>
              <w:bottom w:type="dxa" w:w="70"/>
              <w:right w:type="dxa" w:w="100"/>
            </w:tcMar>
            <w:vAlign w:val="top"/>
          </w:tcPr>
          <w:p>
            <w:pPr>
              <w:keepNext/>
              <w:spacing w:after="0" w:line="252"/>
              <w:jc w:val="left"/>
            </w:pPr>
            <w:r>
              <w:rPr>
                <w:sz w:val="20"/>
                <w:szCs w:val="20"/>
              </w:rPr>
              <w:t xml:space="preserve">Turbidity, or cloudiness (NTU), river water only</w:t>
            </w:r>
          </w:p>
        </w:tc>
        <w:tc>
          <w:tcPr>
            <w:tcW w:type="dxa" w:w="2300"/>
            <w:tcMar>
              <w:top w:type="dxa" w:w="70"/>
              <w:left w:type="dxa" w:w="100"/>
              <w:bottom w:type="dxa" w:w="70"/>
              <w:right w:type="dxa" w:w="100"/>
            </w:tcMar>
            <w:vAlign w:val="top"/>
          </w:tcPr>
          <w:p>
            <w:pPr>
              <w:keepNext/>
              <w:spacing w:after="0" w:line="252"/>
              <w:jc w:val="left"/>
            </w:pPr>
            <w:r>
              <w:rPr>
                <w:sz w:val="20"/>
                <w:szCs w:val="20"/>
              </w:rPr>
              <w:t xml:space="preserve">At or below 0.3 NTU in at least 95 percent of samples each month, and never above 1 NTU</w:t>
            </w:r>
          </w:p>
        </w:tc>
        <w:tc>
          <w:tcPr>
            <w:tcW w:type="dxa" w:w="1464"/>
            <w:tcMar>
              <w:top w:type="dxa" w:w="70"/>
              <w:left w:type="dxa" w:w="100"/>
              <w:bottom w:type="dxa" w:w="70"/>
              <w:right w:type="dxa" w:w="100"/>
            </w:tcMar>
            <w:vAlign w:val="top"/>
          </w:tcPr>
          <w:p>
            <w:pPr>
              <w:keepNext/>
              <w:spacing w:after="0" w:line="252"/>
              <w:jc w:val="left"/>
            </w:pPr>
            <w:r>
              <w:rPr>
                <w:sz w:val="20"/>
                <w:szCs w:val="20"/>
              </w:rPr>
              <w:t xml:space="preserve">100 percent of samples at or below 0.3 NTU in every month</w:t>
            </w:r>
          </w:p>
        </w:tc>
        <w:tc>
          <w:tcPr>
            <w:tcW w:type="dxa" w:w="1260"/>
            <w:tcMar>
              <w:top w:type="dxa" w:w="70"/>
              <w:left w:type="dxa" w:w="100"/>
              <w:bottom w:type="dxa" w:w="70"/>
              <w:right w:type="dxa" w:w="100"/>
            </w:tcMar>
            <w:vAlign w:val="top"/>
          </w:tcPr>
          <w:p>
            <w:pPr>
              <w:keepNext/>
              <w:spacing w:after="0" w:line="252"/>
              <w:jc w:val="left"/>
            </w:pPr>
            <w:r>
              <w:rPr>
                <w:sz w:val="20"/>
                <w:szCs w:val="20"/>
              </w:rPr>
              <w:t xml:space="preserve">Highest single reading 0.21 NTU</w:t>
            </w:r>
          </w:p>
        </w:tc>
        <w:tc>
          <w:tcPr>
            <w:tcW w:type="dxa" w:w="1924"/>
            <w:tcMar>
              <w:top w:type="dxa" w:w="70"/>
              <w:left w:type="dxa" w:w="100"/>
              <w:bottom w:type="dxa" w:w="70"/>
              <w:right w:type="dxa" w:w="100"/>
            </w:tcMar>
            <w:vAlign w:val="top"/>
          </w:tcPr>
          <w:p>
            <w:pPr>
              <w:keepNext/>
              <w:spacing w:after="0" w:line="252"/>
              <w:jc w:val="left"/>
            </w:pPr>
            <w:r>
              <w:rPr>
                <w:sz w:val="20"/>
                <w:szCs w:val="20"/>
              </w:rPr>
              <w:t xml:space="preserve">Yes</w:t>
            </w:r>
          </w:p>
        </w:tc>
        <w:tc>
          <w:tcPr>
            <w:tcW w:type="dxa" w:w="1737"/>
            <w:tcMar>
              <w:top w:type="dxa" w:w="70"/>
              <w:left w:type="dxa" w:w="100"/>
              <w:bottom w:type="dxa" w:w="70"/>
              <w:right w:type="dxa" w:w="100"/>
            </w:tcMar>
            <w:vAlign w:val="top"/>
          </w:tcPr>
          <w:p>
            <w:pPr>
              <w:keepNext/>
              <w:spacing w:after="0" w:line="252"/>
              <w:jc w:val="left"/>
            </w:pPr>
            <w:r>
              <w:rPr>
                <w:sz w:val="20"/>
                <w:szCs w:val="20"/>
              </w:rPr>
              <w:t xml:space="preserve">Soil washed into the river</w:t>
            </w:r>
          </w:p>
        </w:tc>
      </w:tr>
      <w:tr>
        <w:trPr>
          <w:cantSplit/>
        </w:trPr>
        <w:tc>
          <w:tcPr>
            <w:tcW w:type="dxa" w:w="1395"/>
            <w:tcMar>
              <w:top w:type="dxa" w:w="70"/>
              <w:left w:type="dxa" w:w="100"/>
              <w:bottom w:type="dxa" w:w="70"/>
              <w:right w:type="dxa" w:w="100"/>
            </w:tcMar>
            <w:vAlign w:val="top"/>
          </w:tcPr>
          <w:p>
            <w:pPr>
              <w:keepNext/>
              <w:spacing w:after="0" w:line="252"/>
              <w:jc w:val="left"/>
            </w:pPr>
            <w:r>
              <w:rPr>
                <w:sz w:val="20"/>
                <w:szCs w:val="20"/>
              </w:rPr>
              <w:t xml:space="preserve">Chlorine (mg/L)</w:t>
            </w:r>
          </w:p>
        </w:tc>
        <w:tc>
          <w:tcPr>
            <w:tcW w:type="dxa" w:w="2300"/>
            <w:tcMar>
              <w:top w:type="dxa" w:w="70"/>
              <w:left w:type="dxa" w:w="100"/>
              <w:bottom w:type="dxa" w:w="70"/>
              <w:right w:type="dxa" w:w="100"/>
            </w:tcMar>
            <w:vAlign w:val="top"/>
          </w:tcPr>
          <w:p>
            <w:pPr>
              <w:keepNext/>
              <w:spacing w:after="0" w:line="252"/>
              <w:jc w:val="left"/>
            </w:pPr>
            <w:r>
              <w:rPr>
                <w:sz w:val="20"/>
                <w:szCs w:val="20"/>
              </w:rPr>
              <w:t xml:space="preserve">4.0 mg/L, judged as a yearly running average</w:t>
            </w:r>
          </w:p>
        </w:tc>
        <w:tc>
          <w:tcPr>
            <w:tcW w:type="dxa" w:w="1464"/>
            <w:tcMar>
              <w:top w:type="dxa" w:w="70"/>
              <w:left w:type="dxa" w:w="100"/>
              <w:bottom w:type="dxa" w:w="70"/>
              <w:right w:type="dxa" w:w="100"/>
            </w:tcMar>
            <w:vAlign w:val="top"/>
          </w:tcPr>
          <w:p>
            <w:pPr>
              <w:keepNext/>
              <w:spacing w:after="0" w:line="252"/>
              <w:jc w:val="left"/>
            </w:pPr>
            <w:r>
              <w:rPr>
                <w:sz w:val="20"/>
                <w:szCs w:val="20"/>
              </w:rPr>
              <w:t xml:space="preserve">Running average 1.1 mg/L</w:t>
            </w:r>
          </w:p>
        </w:tc>
        <w:tc>
          <w:tcPr>
            <w:tcW w:type="dxa" w:w="1260"/>
            <w:tcMar>
              <w:top w:type="dxa" w:w="70"/>
              <w:left w:type="dxa" w:w="100"/>
              <w:bottom w:type="dxa" w:w="70"/>
              <w:right w:type="dxa" w:w="100"/>
            </w:tcMar>
            <w:vAlign w:val="top"/>
          </w:tcPr>
          <w:p>
            <w:pPr>
              <w:keepNext/>
              <w:spacing w:after="0" w:line="252"/>
              <w:jc w:val="left"/>
            </w:pPr>
            <w:r>
              <w:rPr>
                <w:sz w:val="20"/>
                <w:szCs w:val="20"/>
              </w:rPr>
              <w:t xml:space="preserve">0.3 to 1.9 mg/L</w:t>
            </w:r>
          </w:p>
        </w:tc>
        <w:tc>
          <w:tcPr>
            <w:tcW w:type="dxa" w:w="1924"/>
            <w:tcMar>
              <w:top w:type="dxa" w:w="70"/>
              <w:left w:type="dxa" w:w="100"/>
              <w:bottom w:type="dxa" w:w="70"/>
              <w:right w:type="dxa" w:w="100"/>
            </w:tcMar>
            <w:vAlign w:val="top"/>
          </w:tcPr>
          <w:p>
            <w:pPr>
              <w:keepNext/>
              <w:spacing w:after="0" w:line="252"/>
              <w:jc w:val="left"/>
            </w:pPr>
            <w:r>
              <w:rPr>
                <w:sz w:val="20"/>
                <w:szCs w:val="20"/>
              </w:rPr>
              <w:t xml:space="preserve">Yes</w:t>
            </w:r>
          </w:p>
        </w:tc>
        <w:tc>
          <w:tcPr>
            <w:tcW w:type="dxa" w:w="1737"/>
            <w:tcMar>
              <w:top w:type="dxa" w:w="70"/>
              <w:left w:type="dxa" w:w="100"/>
              <w:bottom w:type="dxa" w:w="70"/>
              <w:right w:type="dxa" w:w="100"/>
            </w:tcMar>
            <w:vAlign w:val="top"/>
          </w:tcPr>
          <w:p>
            <w:pPr>
              <w:keepNext/>
              <w:spacing w:after="0" w:line="252"/>
              <w:jc w:val="left"/>
            </w:pPr>
            <w:r>
              <w:rPr>
                <w:sz w:val="20"/>
                <w:szCs w:val="20"/>
              </w:rPr>
              <w:t xml:space="preserve">Added at the plant and wells to kill germs</w:t>
            </w:r>
          </w:p>
        </w:tc>
      </w:tr>
      <w:tr>
        <w:trPr>
          <w:cantSplit/>
        </w:trPr>
        <w:tc>
          <w:tcPr>
            <w:tcW w:type="dxa" w:w="1395"/>
            <w:tcMar>
              <w:top w:type="dxa" w:w="70"/>
              <w:left w:type="dxa" w:w="100"/>
              <w:bottom w:type="dxa" w:w="70"/>
              <w:right w:type="dxa" w:w="100"/>
            </w:tcMar>
            <w:vAlign w:val="top"/>
          </w:tcPr>
          <w:p>
            <w:pPr>
              <w:keepNext/>
              <w:spacing w:after="0" w:line="252"/>
              <w:jc w:val="left"/>
            </w:pPr>
            <w:r>
              <w:rPr>
                <w:sz w:val="20"/>
                <w:szCs w:val="20"/>
              </w:rPr>
              <w:t xml:space="preserve">Lead (ppb), tested at 30 homes</w:t>
            </w:r>
          </w:p>
        </w:tc>
        <w:tc>
          <w:tcPr>
            <w:tcW w:type="dxa" w:w="2300"/>
            <w:tcMar>
              <w:top w:type="dxa" w:w="70"/>
              <w:left w:type="dxa" w:w="100"/>
              <w:bottom w:type="dxa" w:w="70"/>
              <w:right w:type="dxa" w:w="100"/>
            </w:tcMar>
            <w:vAlign w:val="top"/>
          </w:tcPr>
          <w:p>
            <w:pPr>
              <w:keepNext/>
              <w:spacing w:after="0" w:line="252"/>
              <w:jc w:val="left"/>
            </w:pPr>
            <w:r>
              <w:rPr>
                <w:sz w:val="20"/>
                <w:szCs w:val="20"/>
              </w:rPr>
              <w:t xml:space="preserve">Action level 15 ppb, compared with the 90th percentile result; health goal 0 ppb</w:t>
            </w:r>
          </w:p>
        </w:tc>
        <w:tc>
          <w:tcPr>
            <w:tcW w:type="dxa" w:w="1464"/>
            <w:tcMar>
              <w:top w:type="dxa" w:w="70"/>
              <w:left w:type="dxa" w:w="100"/>
              <w:bottom w:type="dxa" w:w="70"/>
              <w:right w:type="dxa" w:w="100"/>
            </w:tcMar>
            <w:vAlign w:val="top"/>
          </w:tcPr>
          <w:p>
            <w:pPr>
              <w:keepNext/>
              <w:spacing w:after="0" w:line="252"/>
              <w:jc w:val="left"/>
            </w:pPr>
            <w:r>
              <w:rPr>
                <w:sz w:val="20"/>
                <w:szCs w:val="20"/>
              </w:rPr>
              <w:t xml:space="preserve">90th percentile 11 ppb</w:t>
            </w:r>
          </w:p>
        </w:tc>
        <w:tc>
          <w:tcPr>
            <w:tcW w:type="dxa" w:w="1260"/>
            <w:tcMar>
              <w:top w:type="dxa" w:w="70"/>
              <w:left w:type="dxa" w:w="100"/>
              <w:bottom w:type="dxa" w:w="70"/>
              <w:right w:type="dxa" w:w="100"/>
            </w:tcMar>
            <w:vAlign w:val="top"/>
          </w:tcPr>
          <w:p>
            <w:pPr>
              <w:keepNext/>
              <w:spacing w:after="0" w:line="252"/>
              <w:jc w:val="left"/>
            </w:pPr>
            <w:r>
              <w:rPr>
                <w:sz w:val="20"/>
                <w:szCs w:val="20"/>
              </w:rPr>
              <w:t xml:space="preserve">Not detected to 24 ppb; 2 of 30 homes above 15 ppb</w:t>
            </w:r>
          </w:p>
        </w:tc>
        <w:tc>
          <w:tcPr>
            <w:tcW w:type="dxa" w:w="1924"/>
            <w:tcMar>
              <w:top w:type="dxa" w:w="70"/>
              <w:left w:type="dxa" w:w="100"/>
              <w:bottom w:type="dxa" w:w="70"/>
              <w:right w:type="dxa" w:w="100"/>
            </w:tcMar>
            <w:vAlign w:val="top"/>
          </w:tcPr>
          <w:p>
            <w:pPr>
              <w:keepNext/>
              <w:spacing w:after="0" w:line="252"/>
              <w:jc w:val="left"/>
            </w:pPr>
            <w:r>
              <w:rPr>
                <w:sz w:val="20"/>
                <w:szCs w:val="20"/>
              </w:rPr>
              <w:t xml:space="preserve">Yes</w:t>
            </w:r>
          </w:p>
        </w:tc>
        <w:tc>
          <w:tcPr>
            <w:tcW w:type="dxa" w:w="1737"/>
            <w:tcMar>
              <w:top w:type="dxa" w:w="70"/>
              <w:left w:type="dxa" w:w="100"/>
              <w:bottom w:type="dxa" w:w="70"/>
              <w:right w:type="dxa" w:w="100"/>
            </w:tcMar>
            <w:vAlign w:val="top"/>
          </w:tcPr>
          <w:p>
            <w:pPr>
              <w:keepNext/>
              <w:spacing w:after="0" w:line="252"/>
              <w:jc w:val="left"/>
            </w:pPr>
            <w:r>
              <w:rPr>
                <w:sz w:val="20"/>
                <w:szCs w:val="20"/>
              </w:rPr>
              <w:t xml:space="preserve">Lead service lines and older household plumbing</w:t>
            </w:r>
          </w:p>
        </w:tc>
      </w:tr>
      <w:tr>
        <w:trPr>
          <w:cantSplit/>
        </w:trPr>
        <w:tc>
          <w:tcPr>
            <w:tcW w:type="dxa" w:w="1395"/>
            <w:tcMar>
              <w:top w:type="dxa" w:w="70"/>
              <w:left w:type="dxa" w:w="100"/>
              <w:bottom w:type="dxa" w:w="70"/>
              <w:right w:type="dxa" w:w="100"/>
            </w:tcMar>
            <w:vAlign w:val="top"/>
          </w:tcPr>
          <w:p>
            <w:pPr>
              <w:keepNext/>
              <w:spacing w:after="0" w:line="252"/>
              <w:jc w:val="left"/>
            </w:pPr>
            <w:r>
              <w:rPr>
                <w:sz w:val="20"/>
                <w:szCs w:val="20"/>
              </w:rPr>
              <w:t xml:space="preserve">PFOA (ppt), Well 3 only</w:t>
            </w:r>
          </w:p>
        </w:tc>
        <w:tc>
          <w:tcPr>
            <w:tcW w:type="dxa" w:w="2300"/>
            <w:tcMar>
              <w:top w:type="dxa" w:w="70"/>
              <w:left w:type="dxa" w:w="100"/>
              <w:bottom w:type="dxa" w:w="70"/>
              <w:right w:type="dxa" w:w="100"/>
            </w:tcMar>
            <w:vAlign w:val="top"/>
          </w:tcPr>
          <w:p>
            <w:pPr>
              <w:keepNext/>
              <w:spacing w:after="0" w:line="252"/>
              <w:jc w:val="left"/>
            </w:pPr>
            <w:r>
              <w:rPr>
                <w:sz w:val="20"/>
                <w:szCs w:val="20"/>
              </w:rPr>
              <w:t xml:space="preserve">4.0 ppt, which water systems must meet by April 2029</w:t>
            </w:r>
          </w:p>
        </w:tc>
        <w:tc>
          <w:tcPr>
            <w:tcW w:type="dxa" w:w="1464"/>
            <w:tcMar>
              <w:top w:type="dxa" w:w="70"/>
              <w:left w:type="dxa" w:w="100"/>
              <w:bottom w:type="dxa" w:w="70"/>
              <w:right w:type="dxa" w:w="100"/>
            </w:tcMar>
            <w:vAlign w:val="top"/>
          </w:tcPr>
          <w:p>
            <w:pPr>
              <w:keepNext/>
              <w:spacing w:after="0" w:line="252"/>
              <w:jc w:val="left"/>
            </w:pPr>
            <w:r>
              <w:rPr>
                <w:sz w:val="20"/>
                <w:szCs w:val="20"/>
              </w:rPr>
              <w:t xml:space="preserve">Average 5.2 ppt</w:t>
            </w:r>
          </w:p>
        </w:tc>
        <w:tc>
          <w:tcPr>
            <w:tcW w:type="dxa" w:w="1260"/>
            <w:tcMar>
              <w:top w:type="dxa" w:w="70"/>
              <w:left w:type="dxa" w:w="100"/>
              <w:bottom w:type="dxa" w:w="70"/>
              <w:right w:type="dxa" w:w="100"/>
            </w:tcMar>
            <w:vAlign w:val="top"/>
          </w:tcPr>
          <w:p>
            <w:pPr>
              <w:keepNext/>
              <w:spacing w:after="0" w:line="252"/>
              <w:jc w:val="left"/>
            </w:pPr>
            <w:r>
              <w:rPr>
                <w:sz w:val="20"/>
                <w:szCs w:val="20"/>
              </w:rPr>
              <w:t xml:space="preserve">3.8 to 6.1 ppt</w:t>
            </w:r>
          </w:p>
        </w:tc>
        <w:tc>
          <w:tcPr>
            <w:tcW w:type="dxa" w:w="1924"/>
            <w:tcMar>
              <w:top w:type="dxa" w:w="70"/>
              <w:left w:type="dxa" w:w="100"/>
              <w:bottom w:type="dxa" w:w="70"/>
              <w:right w:type="dxa" w:w="100"/>
            </w:tcMar>
            <w:vAlign w:val="top"/>
          </w:tcPr>
          <w:p>
            <w:pPr>
              <w:keepNext/>
              <w:spacing w:after="0" w:line="252"/>
              <w:jc w:val="left"/>
            </w:pPr>
            <w:r>
              <w:rPr>
                <w:sz w:val="20"/>
                <w:szCs w:val="20"/>
              </w:rPr>
              <w:t xml:space="preserve">Not yet required</w:t>
            </w:r>
          </w:p>
        </w:tc>
        <w:tc>
          <w:tcPr>
            <w:tcW w:type="dxa" w:w="1737"/>
            <w:tcMar>
              <w:top w:type="dxa" w:w="70"/>
              <w:left w:type="dxa" w:w="100"/>
              <w:bottom w:type="dxa" w:w="70"/>
              <w:right w:type="dxa" w:w="100"/>
            </w:tcMar>
            <w:vAlign w:val="top"/>
          </w:tcPr>
          <w:p>
            <w:pPr>
              <w:keepNext/>
              <w:spacing w:after="0" w:line="252"/>
              <w:jc w:val="left"/>
            </w:pPr>
            <w:r>
              <w:rPr>
                <w:sz w:val="20"/>
                <w:szCs w:val="20"/>
              </w:rPr>
              <w:t xml:space="preserve">Firefighting foam and some manufacturing</w:t>
            </w:r>
          </w:p>
        </w:tc>
      </w:tr>
      <w:tr>
        <w:trPr>
          <w:cantSplit/>
        </w:trPr>
        <w:tc>
          <w:tcPr>
            <w:tcW w:type="dxa" w:w="1395"/>
            <w:tcMar>
              <w:top w:type="dxa" w:w="70"/>
              <w:left w:type="dxa" w:w="100"/>
              <w:bottom w:type="dxa" w:w="70"/>
              <w:right w:type="dxa" w:w="100"/>
            </w:tcMar>
            <w:vAlign w:val="top"/>
          </w:tcPr>
          <w:p>
            <w:pPr>
              <w:spacing w:after="0" w:line="252"/>
              <w:jc w:val="left"/>
            </w:pPr>
            <w:r>
              <w:rPr>
                <w:sz w:val="20"/>
                <w:szCs w:val="20"/>
              </w:rPr>
              <w:t xml:space="preserve">PFOS (ppt), Well 3 only</w:t>
            </w:r>
          </w:p>
        </w:tc>
        <w:tc>
          <w:tcPr>
            <w:tcW w:type="dxa" w:w="2300"/>
            <w:tcMar>
              <w:top w:type="dxa" w:w="70"/>
              <w:left w:type="dxa" w:w="100"/>
              <w:bottom w:type="dxa" w:w="70"/>
              <w:right w:type="dxa" w:w="100"/>
            </w:tcMar>
            <w:vAlign w:val="top"/>
          </w:tcPr>
          <w:p>
            <w:pPr>
              <w:spacing w:after="0" w:line="252"/>
              <w:jc w:val="left"/>
            </w:pPr>
            <w:r>
              <w:rPr>
                <w:sz w:val="20"/>
                <w:szCs w:val="20"/>
              </w:rPr>
              <w:t xml:space="preserve">4.0 ppt, which water systems must meet by April 2029</w:t>
            </w:r>
          </w:p>
        </w:tc>
        <w:tc>
          <w:tcPr>
            <w:tcW w:type="dxa" w:w="1464"/>
            <w:tcMar>
              <w:top w:type="dxa" w:w="70"/>
              <w:left w:type="dxa" w:w="100"/>
              <w:bottom w:type="dxa" w:w="70"/>
              <w:right w:type="dxa" w:w="100"/>
            </w:tcMar>
            <w:vAlign w:val="top"/>
          </w:tcPr>
          <w:p>
            <w:pPr>
              <w:spacing w:after="0" w:line="252"/>
              <w:jc w:val="left"/>
            </w:pPr>
            <w:r>
              <w:rPr>
                <w:sz w:val="20"/>
                <w:szCs w:val="20"/>
              </w:rPr>
              <w:t xml:space="preserve">Average 2.6 ppt</w:t>
            </w:r>
          </w:p>
        </w:tc>
        <w:tc>
          <w:tcPr>
            <w:tcW w:type="dxa" w:w="1260"/>
            <w:tcMar>
              <w:top w:type="dxa" w:w="70"/>
              <w:left w:type="dxa" w:w="100"/>
              <w:bottom w:type="dxa" w:w="70"/>
              <w:right w:type="dxa" w:w="100"/>
            </w:tcMar>
            <w:vAlign w:val="top"/>
          </w:tcPr>
          <w:p>
            <w:pPr>
              <w:spacing w:after="0" w:line="252"/>
              <w:jc w:val="left"/>
            </w:pPr>
            <w:r>
              <w:rPr>
                <w:sz w:val="20"/>
                <w:szCs w:val="20"/>
              </w:rPr>
              <w:t xml:space="preserve">1.9 to 3.3 ppt</w:t>
            </w:r>
          </w:p>
        </w:tc>
        <w:tc>
          <w:tcPr>
            <w:tcW w:type="dxa" w:w="1924"/>
            <w:tcMar>
              <w:top w:type="dxa" w:w="70"/>
              <w:left w:type="dxa" w:w="100"/>
              <w:bottom w:type="dxa" w:w="70"/>
              <w:right w:type="dxa" w:w="100"/>
            </w:tcMar>
            <w:vAlign w:val="top"/>
          </w:tcPr>
          <w:p>
            <w:pPr>
              <w:spacing w:after="0" w:line="252"/>
              <w:jc w:val="left"/>
            </w:pPr>
            <w:r>
              <w:rPr>
                <w:sz w:val="20"/>
                <w:szCs w:val="20"/>
              </w:rPr>
              <w:t xml:space="preserve">Not yet required</w:t>
            </w:r>
          </w:p>
        </w:tc>
        <w:tc>
          <w:tcPr>
            <w:tcW w:type="dxa" w:w="1737"/>
            <w:tcMar>
              <w:top w:type="dxa" w:w="70"/>
              <w:left w:type="dxa" w:w="100"/>
              <w:bottom w:type="dxa" w:w="70"/>
              <w:right w:type="dxa" w:w="100"/>
            </w:tcMar>
            <w:vAlign w:val="top"/>
          </w:tcPr>
          <w:p>
            <w:pPr>
              <w:spacing w:after="0" w:line="252"/>
              <w:jc w:val="left"/>
            </w:pPr>
            <w:r>
              <w:rPr>
                <w:sz w:val="20"/>
                <w:szCs w:val="20"/>
              </w:rPr>
              <w:t xml:space="preserve">Firefighting foam and some manufacturing</w:t>
            </w:r>
          </w:p>
        </w:tc>
      </w:tr>
    </w:tbl>
    <w:p>
      <w:pPr>
        <w:spacing w:after="160" w:before="0"/>
      </w:pPr>
    </w:p>
    <w:p>
      <w:pPr>
        <w:spacing w:after="120" w:line="276"/>
      </w:pPr>
      <w:r>
        <w:rPr>
          <w:sz w:val="22"/>
          <w:szCs w:val="22"/>
        </w:rPr>
        <w:t xml:space="preserve">Units. NTU measures how cloudy water is. In drinking water, one mg/L is about one part per million. One ppb is one part per billion, and one ppt is one part per trillion. Neither PFOA nor PFOS was found in the river water or in Wells 1 and 2.</w:t>
      </w:r>
    </w:p>
    <w:p>
      <w:pPr>
        <w:spacing w:after="120" w:line="276"/>
      </w:pPr>
      <w:r>
        <w:rPr>
          <w:sz w:val="22"/>
          <w:szCs w:val="22"/>
        </w:rPr>
        <w:t xml:space="preserve">Note on lead. Lead does not come from the river or the wells. It enters water from lead service lines, which are the pipes connecting some older homes to the water main, and from older faucets and solder inside homes. Each round of testing checks 30 homes with a higher chance of having lead pipes. The results are ranked from lowest to highest, and the 90th percentile is the result that 90 percent of homes are at or below. The action level is not a health-based limit. It is the point at which a utility must take further steps, such as adjusting its treatment to make water less corrosive. The health goal for lead set by EPA is zero, because no level of lead is known to be safe.</w:t>
      </w:r>
    </w:p>
    <w:p>
      <w:pPr>
        <w:spacing w:after="120" w:line="276"/>
      </w:pPr>
      <w:r>
        <w:rPr>
          <w:sz w:val="22"/>
          <w:szCs w:val="22"/>
        </w:rPr>
        <w:t xml:space="preserve">A change is coming. Under federal rules finalized in 2024, the action level drops from 15 ppb to 10 ppb in 2027. Our 2025 result of 11 ppb would be above that lower level. We are reviewing our corrosion control treatment now. We cannot yet say whether the review will lead to a change in treatment, and we will report its findings in next year's report.</w:t>
      </w:r>
    </w:p>
    <w:p>
      <w:pPr>
        <w:spacing w:after="120" w:line="276"/>
      </w:pPr>
      <w:r>
        <w:rPr>
          <w:sz w:val="22"/>
          <w:szCs w:val="22"/>
        </w:rPr>
        <w:t xml:space="preserve">Is there a lead service line at your address? Our service line inventory lists 1,140 lines that are lead or galvanized steel that must be replaced, and 2,050 lines whose material we do not yet know. You can look up your address on our website or call customer service. Our plan for replacing these lines is in the capital plan.</w:t>
      </w:r>
    </w:p>
    <w:p>
      <w:pPr>
        <w:spacing w:after="120" w:line="276"/>
      </w:pPr>
      <w:r>
        <w:rPr>
          <w:sz w:val="22"/>
          <w:szCs w:val="22"/>
        </w:rPr>
        <w:t xml:space="preserve">If you are concerned about lead, use only cold water for drinking, cooking, and mixing baby formula. If the water has been sitting in your pipes for several hours, run the cold tap until it feels noticeably colder before you use it. Any household can request a free lead test kit by calling customer service.</w:t>
      </w:r>
    </w:p>
    <w:p>
      <w:pPr>
        <w:spacing w:after="120" w:line="276"/>
      </w:pPr>
      <w:r>
        <w:rPr>
          <w:sz w:val="22"/>
          <w:szCs w:val="22"/>
        </w:rPr>
        <w:t xml:space="preserve">Note on PFAS. PFOA and PFOS belong to a large group of manufactured chemicals called PFAS, which break down very slowly. In 2024 EPA set a limit of 4.0 ppt for each, which water systems must meet by April 2029. In May 2026 EPA proposed letting some systems apply for two more years. That proposal was not final when this report was printed, and Havenbrook does not plan to apply. We are designing treatment for Well 3 (see the capital plan). Until it is built, we are drawing less water from Well 3 and more from Wells 1 and 2.</w:t>
      </w:r>
    </w:p>
    <w:p>
      <w:pPr>
        <w:spacing w:after="120" w:line="276"/>
      </w:pPr>
      <w:r>
        <w:rPr>
          <w:sz w:val="22"/>
          <w:szCs w:val="22"/>
        </w:rPr>
        <w:t xml:space="preserve">Note on chlorine. Chlorine keeps water safe as it travels through the pipes. Some customers notice its smell, especially near the plant, in the early morning, or after a main break, when we raise the dose for a few days. Our results were well below the limit all year.</w:t>
      </w:r>
    </w:p>
    <w:p>
      <w:pPr>
        <w:keepNext/>
        <w:keepLines/>
        <w:spacing w:after="120" w:line="276"/>
      </w:pPr>
      <w:r>
        <w:rPr>
          <w:b/>
          <w:bCs/>
          <w:sz w:val="22"/>
          <w:szCs w:val="22"/>
        </w:rPr>
        <w:t xml:space="preserve">Document 2. Havenbrook Municipal Water, Five-Year Capital Plan, 2027 to 2031 (summary page)</w:t>
      </w:r>
    </w:p>
    <w:p>
      <w:pPr>
        <w:spacing w:after="120" w:line="276"/>
      </w:pPr>
      <w:r>
        <w:rPr>
          <w:i/>
          <w:iCs/>
          <w:sz w:val="22"/>
          <w:szCs w:val="22"/>
        </w:rPr>
        <w:t xml:space="preserve">Adopted by the Board of Water Commissioners. All costs are estimates in millions of dollars.</w:t>
      </w:r>
    </w:p>
    <w:p>
      <w:pPr>
        <w:spacing w:after="120" w:line="276"/>
      </w:pPr>
      <w:r>
        <w:rPr>
          <w:sz w:val="22"/>
          <w:szCs w:val="22"/>
        </w:rPr>
        <w:t xml:space="preserve">The system at a glance. Havenbrook has about 160 miles of water mains. About 38 miles were installed before 1960 and are cast iron, which becomes brittle with age. Main breaks recorded each year were 41 in 2021, 47 in 2022, 44 in 2023, 52 in 2024, and 58 in 2025.</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790"/>
        <w:gridCol w:w="709"/>
        <w:gridCol w:w="780"/>
        <w:gridCol w:w="709"/>
        <w:gridCol w:w="709"/>
        <w:gridCol w:w="709"/>
        <w:gridCol w:w="1674"/>
      </w:tblGrid>
      <w:tr>
        <w:trPr>
          <w:cantSplit/>
          <w:tblHeader/>
        </w:trPr>
        <w:tc>
          <w:tcPr>
            <w:tcW w:type="dxa" w:w="479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Project</w:t>
            </w:r>
          </w:p>
        </w:tc>
        <w:tc>
          <w:tcPr>
            <w:tcW w:type="dxa" w:w="70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2027</w:t>
            </w:r>
          </w:p>
        </w:tc>
        <w:tc>
          <w:tcPr>
            <w:tcW w:type="dxa" w:w="78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2028</w:t>
            </w:r>
          </w:p>
        </w:tc>
        <w:tc>
          <w:tcPr>
            <w:tcW w:type="dxa" w:w="70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2029</w:t>
            </w:r>
          </w:p>
        </w:tc>
        <w:tc>
          <w:tcPr>
            <w:tcW w:type="dxa" w:w="70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2030</w:t>
            </w:r>
          </w:p>
        </w:tc>
        <w:tc>
          <w:tcPr>
            <w:tcW w:type="dxa" w:w="70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2031</w:t>
            </w:r>
          </w:p>
        </w:tc>
        <w:tc>
          <w:tcPr>
            <w:tcW w:type="dxa" w:w="167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Five-year total</w:t>
            </w:r>
          </w:p>
        </w:tc>
      </w:tr>
      <w:tr>
        <w:trPr>
          <w:cantSplit/>
        </w:trPr>
        <w:tc>
          <w:tcPr>
            <w:tcW w:type="dxa" w:w="4790"/>
            <w:tcMar>
              <w:top w:type="dxa" w:w="70"/>
              <w:left w:type="dxa" w:w="100"/>
              <w:bottom w:type="dxa" w:w="70"/>
              <w:right w:type="dxa" w:w="100"/>
            </w:tcMar>
            <w:vAlign w:val="top"/>
          </w:tcPr>
          <w:p>
            <w:pPr>
              <w:keepNext/>
              <w:spacing w:after="0" w:line="252"/>
              <w:jc w:val="left"/>
            </w:pPr>
            <w:r>
              <w:rPr>
                <w:sz w:val="20"/>
                <w:szCs w:val="20"/>
              </w:rPr>
              <w:t xml:space="preserve">Water main replacement (miles)</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2.0</w:t>
            </w:r>
          </w:p>
        </w:tc>
        <w:tc>
          <w:tcPr>
            <w:tcW w:type="dxa" w:w="780"/>
            <w:tcMar>
              <w:top w:type="dxa" w:w="70"/>
              <w:left w:type="dxa" w:w="100"/>
              <w:bottom w:type="dxa" w:w="70"/>
              <w:right w:type="dxa" w:w="100"/>
            </w:tcMar>
            <w:vAlign w:val="top"/>
          </w:tcPr>
          <w:p>
            <w:pPr>
              <w:keepNext/>
              <w:spacing w:after="0" w:line="252"/>
              <w:jc w:val="left"/>
            </w:pPr>
            <w:r>
              <w:rPr>
                <w:sz w:val="20"/>
                <w:szCs w:val="20"/>
              </w:rPr>
              <w:t xml:space="preserve">2.5</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2.5</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3.0</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3.0</w:t>
            </w:r>
          </w:p>
        </w:tc>
        <w:tc>
          <w:tcPr>
            <w:tcW w:type="dxa" w:w="1674"/>
            <w:tcMar>
              <w:top w:type="dxa" w:w="70"/>
              <w:left w:type="dxa" w:w="100"/>
              <w:bottom w:type="dxa" w:w="70"/>
              <w:right w:type="dxa" w:w="100"/>
            </w:tcMar>
            <w:vAlign w:val="top"/>
          </w:tcPr>
          <w:p>
            <w:pPr>
              <w:keepNext/>
              <w:spacing w:after="0" w:line="252"/>
              <w:jc w:val="left"/>
            </w:pPr>
            <w:r>
              <w:rPr>
                <w:sz w:val="20"/>
                <w:szCs w:val="20"/>
              </w:rPr>
              <w:t xml:space="preserve">13.0</w:t>
            </w:r>
          </w:p>
        </w:tc>
      </w:tr>
      <w:tr>
        <w:trPr>
          <w:cantSplit/>
        </w:trPr>
        <w:tc>
          <w:tcPr>
            <w:tcW w:type="dxa" w:w="4790"/>
            <w:tcMar>
              <w:top w:type="dxa" w:w="70"/>
              <w:left w:type="dxa" w:w="100"/>
              <w:bottom w:type="dxa" w:w="70"/>
              <w:right w:type="dxa" w:w="100"/>
            </w:tcMar>
            <w:vAlign w:val="top"/>
          </w:tcPr>
          <w:p>
            <w:pPr>
              <w:keepNext/>
              <w:spacing w:after="0" w:line="252"/>
              <w:jc w:val="left"/>
            </w:pPr>
            <w:r>
              <w:rPr>
                <w:sz w:val="20"/>
                <w:szCs w:val="20"/>
              </w:rPr>
              <w:t xml:space="preserve">Water main replacement (cost)</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$3.2</w:t>
            </w:r>
          </w:p>
        </w:tc>
        <w:tc>
          <w:tcPr>
            <w:tcW w:type="dxa" w:w="780"/>
            <w:tcMar>
              <w:top w:type="dxa" w:w="70"/>
              <w:left w:type="dxa" w:w="100"/>
              <w:bottom w:type="dxa" w:w="70"/>
              <w:right w:type="dxa" w:w="100"/>
            </w:tcMar>
            <w:vAlign w:val="top"/>
          </w:tcPr>
          <w:p>
            <w:pPr>
              <w:keepNext/>
              <w:spacing w:after="0" w:line="252"/>
              <w:jc w:val="left"/>
            </w:pPr>
            <w:r>
              <w:rPr>
                <w:sz w:val="20"/>
                <w:szCs w:val="20"/>
              </w:rPr>
              <w:t xml:space="preserve">$4.0</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$4.0</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$4.8</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$4.8</w:t>
            </w:r>
          </w:p>
        </w:tc>
        <w:tc>
          <w:tcPr>
            <w:tcW w:type="dxa" w:w="1674"/>
            <w:tcMar>
              <w:top w:type="dxa" w:w="70"/>
              <w:left w:type="dxa" w:w="100"/>
              <w:bottom w:type="dxa" w:w="70"/>
              <w:right w:type="dxa" w:w="100"/>
            </w:tcMar>
            <w:vAlign w:val="top"/>
          </w:tcPr>
          <w:p>
            <w:pPr>
              <w:keepNext/>
              <w:spacing w:after="0" w:line="252"/>
              <w:jc w:val="left"/>
            </w:pPr>
            <w:r>
              <w:rPr>
                <w:sz w:val="20"/>
                <w:szCs w:val="20"/>
              </w:rPr>
              <w:t xml:space="preserve">$20.8</w:t>
            </w:r>
          </w:p>
        </w:tc>
      </w:tr>
      <w:tr>
        <w:trPr>
          <w:cantSplit/>
        </w:trPr>
        <w:tc>
          <w:tcPr>
            <w:tcW w:type="dxa" w:w="4790"/>
            <w:tcMar>
              <w:top w:type="dxa" w:w="70"/>
              <w:left w:type="dxa" w:w="100"/>
              <w:bottom w:type="dxa" w:w="70"/>
              <w:right w:type="dxa" w:w="100"/>
            </w:tcMar>
            <w:vAlign w:val="top"/>
          </w:tcPr>
          <w:p>
            <w:pPr>
              <w:keepNext/>
              <w:spacing w:after="0" w:line="252"/>
              <w:jc w:val="left"/>
            </w:pPr>
            <w:r>
              <w:rPr>
                <w:sz w:val="20"/>
                <w:szCs w:val="20"/>
              </w:rPr>
              <w:t xml:space="preserve">Lead service lines replaced (number)</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200</w:t>
            </w:r>
          </w:p>
        </w:tc>
        <w:tc>
          <w:tcPr>
            <w:tcW w:type="dxa" w:w="780"/>
            <w:tcMar>
              <w:top w:type="dxa" w:w="70"/>
              <w:left w:type="dxa" w:w="100"/>
              <w:bottom w:type="dxa" w:w="70"/>
              <w:right w:type="dxa" w:w="100"/>
            </w:tcMar>
            <w:vAlign w:val="top"/>
          </w:tcPr>
          <w:p>
            <w:pPr>
              <w:keepNext/>
              <w:spacing w:after="0" w:line="252"/>
              <w:jc w:val="left"/>
            </w:pPr>
            <w:r>
              <w:rPr>
                <w:sz w:val="20"/>
                <w:szCs w:val="20"/>
              </w:rPr>
              <w:t xml:space="preserve">250</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250</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250</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250</w:t>
            </w:r>
          </w:p>
        </w:tc>
        <w:tc>
          <w:tcPr>
            <w:tcW w:type="dxa" w:w="1674"/>
            <w:tcMar>
              <w:top w:type="dxa" w:w="70"/>
              <w:left w:type="dxa" w:w="100"/>
              <w:bottom w:type="dxa" w:w="70"/>
              <w:right w:type="dxa" w:w="100"/>
            </w:tcMar>
            <w:vAlign w:val="top"/>
          </w:tcPr>
          <w:p>
            <w:pPr>
              <w:keepNext/>
              <w:spacing w:after="0" w:line="252"/>
              <w:jc w:val="left"/>
            </w:pPr>
            <w:r>
              <w:rPr>
                <w:sz w:val="20"/>
                <w:szCs w:val="20"/>
              </w:rPr>
              <w:t xml:space="preserve">1,200</w:t>
            </w:r>
          </w:p>
        </w:tc>
      </w:tr>
      <w:tr>
        <w:trPr>
          <w:cantSplit/>
        </w:trPr>
        <w:tc>
          <w:tcPr>
            <w:tcW w:type="dxa" w:w="4790"/>
            <w:tcMar>
              <w:top w:type="dxa" w:w="70"/>
              <w:left w:type="dxa" w:w="100"/>
              <w:bottom w:type="dxa" w:w="70"/>
              <w:right w:type="dxa" w:w="100"/>
            </w:tcMar>
            <w:vAlign w:val="top"/>
          </w:tcPr>
          <w:p>
            <w:pPr>
              <w:keepNext/>
              <w:spacing w:after="0" w:line="252"/>
              <w:jc w:val="left"/>
            </w:pPr>
            <w:r>
              <w:rPr>
                <w:sz w:val="20"/>
                <w:szCs w:val="20"/>
              </w:rPr>
              <w:t xml:space="preserve">Lead service line replacement (cost)</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$2.0</w:t>
            </w:r>
          </w:p>
        </w:tc>
        <w:tc>
          <w:tcPr>
            <w:tcW w:type="dxa" w:w="780"/>
            <w:tcMar>
              <w:top w:type="dxa" w:w="70"/>
              <w:left w:type="dxa" w:w="100"/>
              <w:bottom w:type="dxa" w:w="70"/>
              <w:right w:type="dxa" w:w="100"/>
            </w:tcMar>
            <w:vAlign w:val="top"/>
          </w:tcPr>
          <w:p>
            <w:pPr>
              <w:keepNext/>
              <w:spacing w:after="0" w:line="252"/>
              <w:jc w:val="left"/>
            </w:pPr>
            <w:r>
              <w:rPr>
                <w:sz w:val="20"/>
                <w:szCs w:val="20"/>
              </w:rPr>
              <w:t xml:space="preserve">$2.5</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$2.5</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$2.5</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$2.5</w:t>
            </w:r>
          </w:p>
        </w:tc>
        <w:tc>
          <w:tcPr>
            <w:tcW w:type="dxa" w:w="1674"/>
            <w:tcMar>
              <w:top w:type="dxa" w:w="70"/>
              <w:left w:type="dxa" w:w="100"/>
              <w:bottom w:type="dxa" w:w="70"/>
              <w:right w:type="dxa" w:w="100"/>
            </w:tcMar>
            <w:vAlign w:val="top"/>
          </w:tcPr>
          <w:p>
            <w:pPr>
              <w:keepNext/>
              <w:spacing w:after="0" w:line="252"/>
              <w:jc w:val="left"/>
            </w:pPr>
            <w:r>
              <w:rPr>
                <w:sz w:val="20"/>
                <w:szCs w:val="20"/>
              </w:rPr>
              <w:t xml:space="preserve">$12.0</w:t>
            </w:r>
          </w:p>
        </w:tc>
      </w:tr>
      <w:tr>
        <w:trPr>
          <w:cantSplit/>
        </w:trPr>
        <w:tc>
          <w:tcPr>
            <w:tcW w:type="dxa" w:w="4790"/>
            <w:tcMar>
              <w:top w:type="dxa" w:w="70"/>
              <w:left w:type="dxa" w:w="100"/>
              <w:bottom w:type="dxa" w:w="70"/>
              <w:right w:type="dxa" w:w="100"/>
            </w:tcMar>
            <w:vAlign w:val="top"/>
          </w:tcPr>
          <w:p>
            <w:pPr>
              <w:keepNext/>
              <w:spacing w:after="0" w:line="252"/>
              <w:jc w:val="left"/>
            </w:pPr>
            <w:r>
              <w:rPr>
                <w:sz w:val="20"/>
                <w:szCs w:val="20"/>
              </w:rPr>
              <w:t xml:space="preserve">Identifying unknown service line materials (cost)</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$0.4</w:t>
            </w:r>
          </w:p>
        </w:tc>
        <w:tc>
          <w:tcPr>
            <w:tcW w:type="dxa" w:w="780"/>
            <w:tcMar>
              <w:top w:type="dxa" w:w="70"/>
              <w:left w:type="dxa" w:w="100"/>
              <w:bottom w:type="dxa" w:w="70"/>
              <w:right w:type="dxa" w:w="100"/>
            </w:tcMar>
            <w:vAlign w:val="top"/>
          </w:tcPr>
          <w:p>
            <w:pPr>
              <w:keepNext/>
              <w:spacing w:after="0" w:line="252"/>
              <w:jc w:val="left"/>
            </w:pPr>
            <w:r>
              <w:rPr>
                <w:sz w:val="20"/>
                <w:szCs w:val="20"/>
              </w:rPr>
              <w:t xml:space="preserve">$0.4</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$0.3</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none</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none</w:t>
            </w:r>
          </w:p>
        </w:tc>
        <w:tc>
          <w:tcPr>
            <w:tcW w:type="dxa" w:w="1674"/>
            <w:tcMar>
              <w:top w:type="dxa" w:w="70"/>
              <w:left w:type="dxa" w:w="100"/>
              <w:bottom w:type="dxa" w:w="70"/>
              <w:right w:type="dxa" w:w="100"/>
            </w:tcMar>
            <w:vAlign w:val="top"/>
          </w:tcPr>
          <w:p>
            <w:pPr>
              <w:keepNext/>
              <w:spacing w:after="0" w:line="252"/>
              <w:jc w:val="left"/>
            </w:pPr>
            <w:r>
              <w:rPr>
                <w:sz w:val="20"/>
                <w:szCs w:val="20"/>
              </w:rPr>
              <w:t xml:space="preserve">$1.1</w:t>
            </w:r>
          </w:p>
        </w:tc>
      </w:tr>
      <w:tr>
        <w:trPr>
          <w:cantSplit/>
        </w:trPr>
        <w:tc>
          <w:tcPr>
            <w:tcW w:type="dxa" w:w="4790"/>
            <w:tcMar>
              <w:top w:type="dxa" w:w="70"/>
              <w:left w:type="dxa" w:w="100"/>
              <w:bottom w:type="dxa" w:w="70"/>
              <w:right w:type="dxa" w:w="100"/>
            </w:tcMar>
            <w:vAlign w:val="top"/>
          </w:tcPr>
          <w:p>
            <w:pPr>
              <w:keepNext/>
              <w:spacing w:after="0" w:line="252"/>
              <w:jc w:val="left"/>
            </w:pPr>
            <w:r>
              <w:rPr>
                <w:sz w:val="20"/>
                <w:szCs w:val="20"/>
              </w:rPr>
              <w:t xml:space="preserve">Well 3 PFAS treatment (cost)</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$0.6</w:t>
            </w:r>
          </w:p>
        </w:tc>
        <w:tc>
          <w:tcPr>
            <w:tcW w:type="dxa" w:w="780"/>
            <w:tcMar>
              <w:top w:type="dxa" w:w="70"/>
              <w:left w:type="dxa" w:w="100"/>
              <w:bottom w:type="dxa" w:w="70"/>
              <w:right w:type="dxa" w:w="100"/>
            </w:tcMar>
            <w:vAlign w:val="top"/>
          </w:tcPr>
          <w:p>
            <w:pPr>
              <w:keepNext/>
              <w:spacing w:after="0" w:line="252"/>
              <w:jc w:val="left"/>
            </w:pPr>
            <w:r>
              <w:rPr>
                <w:sz w:val="20"/>
                <w:szCs w:val="20"/>
              </w:rPr>
              <w:t xml:space="preserve">$4.2</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none</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none</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none</w:t>
            </w:r>
          </w:p>
        </w:tc>
        <w:tc>
          <w:tcPr>
            <w:tcW w:type="dxa" w:w="1674"/>
            <w:tcMar>
              <w:top w:type="dxa" w:w="70"/>
              <w:left w:type="dxa" w:w="100"/>
              <w:bottom w:type="dxa" w:w="70"/>
              <w:right w:type="dxa" w:w="100"/>
            </w:tcMar>
            <w:vAlign w:val="top"/>
          </w:tcPr>
          <w:p>
            <w:pPr>
              <w:keepNext/>
              <w:spacing w:after="0" w:line="252"/>
              <w:jc w:val="left"/>
            </w:pPr>
            <w:r>
              <w:rPr>
                <w:sz w:val="20"/>
                <w:szCs w:val="20"/>
              </w:rPr>
              <w:t xml:space="preserve">$4.8</w:t>
            </w:r>
          </w:p>
        </w:tc>
      </w:tr>
      <w:tr>
        <w:trPr>
          <w:cantSplit/>
        </w:trPr>
        <w:tc>
          <w:tcPr>
            <w:tcW w:type="dxa" w:w="4790"/>
            <w:tcMar>
              <w:top w:type="dxa" w:w="70"/>
              <w:left w:type="dxa" w:w="100"/>
              <w:bottom w:type="dxa" w:w="70"/>
              <w:right w:type="dxa" w:w="100"/>
            </w:tcMar>
            <w:vAlign w:val="top"/>
          </w:tcPr>
          <w:p>
            <w:pPr>
              <w:keepNext/>
              <w:spacing w:after="0" w:line="252"/>
              <w:jc w:val="left"/>
            </w:pPr>
            <w:r>
              <w:rPr>
                <w:sz w:val="20"/>
                <w:szCs w:val="20"/>
              </w:rPr>
              <w:t xml:space="preserve">Ridgeline plant filter repairs (cost)</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none</w:t>
            </w:r>
          </w:p>
        </w:tc>
        <w:tc>
          <w:tcPr>
            <w:tcW w:type="dxa" w:w="780"/>
            <w:tcMar>
              <w:top w:type="dxa" w:w="70"/>
              <w:left w:type="dxa" w:w="100"/>
              <w:bottom w:type="dxa" w:w="70"/>
              <w:right w:type="dxa" w:w="100"/>
            </w:tcMar>
            <w:vAlign w:val="top"/>
          </w:tcPr>
          <w:p>
            <w:pPr>
              <w:keepNext/>
              <w:spacing w:after="0" w:line="252"/>
              <w:jc w:val="left"/>
            </w:pPr>
            <w:r>
              <w:rPr>
                <w:sz w:val="20"/>
                <w:szCs w:val="20"/>
              </w:rPr>
              <w:t xml:space="preserve">none</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$1.4</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$1.2</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none</w:t>
            </w:r>
          </w:p>
        </w:tc>
        <w:tc>
          <w:tcPr>
            <w:tcW w:type="dxa" w:w="1674"/>
            <w:tcMar>
              <w:top w:type="dxa" w:w="70"/>
              <w:left w:type="dxa" w:w="100"/>
              <w:bottom w:type="dxa" w:w="70"/>
              <w:right w:type="dxa" w:w="100"/>
            </w:tcMar>
            <w:vAlign w:val="top"/>
          </w:tcPr>
          <w:p>
            <w:pPr>
              <w:keepNext/>
              <w:spacing w:after="0" w:line="252"/>
              <w:jc w:val="left"/>
            </w:pPr>
            <w:r>
              <w:rPr>
                <w:sz w:val="20"/>
                <w:szCs w:val="20"/>
              </w:rPr>
              <w:t xml:space="preserve">$2.6</w:t>
            </w:r>
          </w:p>
        </w:tc>
      </w:tr>
      <w:tr>
        <w:trPr>
          <w:cantSplit/>
        </w:trPr>
        <w:tc>
          <w:tcPr>
            <w:tcW w:type="dxa" w:w="4790"/>
            <w:tcMar>
              <w:top w:type="dxa" w:w="70"/>
              <w:left w:type="dxa" w:w="100"/>
              <w:bottom w:type="dxa" w:w="70"/>
              <w:right w:type="dxa" w:w="100"/>
            </w:tcMar>
            <w:vAlign w:val="top"/>
          </w:tcPr>
          <w:p>
            <w:pPr>
              <w:keepNext/>
              <w:spacing w:after="0" w:line="252"/>
              <w:jc w:val="left"/>
            </w:pPr>
            <w:r>
              <w:rPr>
                <w:sz w:val="20"/>
                <w:szCs w:val="20"/>
              </w:rPr>
              <w:t xml:space="preserve">Storage tank repainting (cost)</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none</w:t>
            </w:r>
          </w:p>
        </w:tc>
        <w:tc>
          <w:tcPr>
            <w:tcW w:type="dxa" w:w="780"/>
            <w:tcMar>
              <w:top w:type="dxa" w:w="70"/>
              <w:left w:type="dxa" w:w="100"/>
              <w:bottom w:type="dxa" w:w="70"/>
              <w:right w:type="dxa" w:w="100"/>
            </w:tcMar>
            <w:vAlign w:val="top"/>
          </w:tcPr>
          <w:p>
            <w:pPr>
              <w:keepNext/>
              <w:spacing w:after="0" w:line="252"/>
              <w:jc w:val="left"/>
            </w:pPr>
            <w:r>
              <w:rPr>
                <w:sz w:val="20"/>
                <w:szCs w:val="20"/>
              </w:rPr>
              <w:t xml:space="preserve">none</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none</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none</w:t>
            </w:r>
          </w:p>
        </w:tc>
        <w:tc>
          <w:tcPr>
            <w:tcW w:type="dxa" w:w="709"/>
            <w:tcMar>
              <w:top w:type="dxa" w:w="70"/>
              <w:left w:type="dxa" w:w="100"/>
              <w:bottom w:type="dxa" w:w="70"/>
              <w:right w:type="dxa" w:w="100"/>
            </w:tcMar>
            <w:vAlign w:val="top"/>
          </w:tcPr>
          <w:p>
            <w:pPr>
              <w:keepNext/>
              <w:spacing w:after="0" w:line="252"/>
              <w:jc w:val="left"/>
            </w:pPr>
            <w:r>
              <w:rPr>
                <w:sz w:val="20"/>
                <w:szCs w:val="20"/>
              </w:rPr>
              <w:t xml:space="preserve">$0.9</w:t>
            </w:r>
          </w:p>
        </w:tc>
        <w:tc>
          <w:tcPr>
            <w:tcW w:type="dxa" w:w="1674"/>
            <w:tcMar>
              <w:top w:type="dxa" w:w="70"/>
              <w:left w:type="dxa" w:w="100"/>
              <w:bottom w:type="dxa" w:w="70"/>
              <w:right w:type="dxa" w:w="100"/>
            </w:tcMar>
            <w:vAlign w:val="top"/>
          </w:tcPr>
          <w:p>
            <w:pPr>
              <w:keepNext/>
              <w:spacing w:after="0" w:line="252"/>
              <w:jc w:val="left"/>
            </w:pPr>
            <w:r>
              <w:rPr>
                <w:sz w:val="20"/>
                <w:szCs w:val="20"/>
              </w:rPr>
              <w:t xml:space="preserve">$0.9</w:t>
            </w:r>
          </w:p>
        </w:tc>
      </w:tr>
      <w:tr>
        <w:trPr>
          <w:cantSplit/>
        </w:trPr>
        <w:tc>
          <w:tcPr>
            <w:tcW w:type="dxa" w:w="4790"/>
            <w:tcMar>
              <w:top w:type="dxa" w:w="70"/>
              <w:left w:type="dxa" w:w="100"/>
              <w:bottom w:type="dxa" w:w="70"/>
              <w:right w:type="dxa" w:w="100"/>
            </w:tcMar>
            <w:vAlign w:val="top"/>
          </w:tcPr>
          <w:p>
            <w:pPr>
              <w:spacing w:after="0" w:line="252"/>
              <w:jc w:val="left"/>
            </w:pPr>
            <w:r>
              <w:rPr>
                <w:sz w:val="20"/>
                <w:szCs w:val="20"/>
              </w:rPr>
              <w:t xml:space="preserve">Total cost for the year</w:t>
            </w:r>
          </w:p>
        </w:tc>
        <w:tc>
          <w:tcPr>
            <w:tcW w:type="dxa" w:w="709"/>
            <w:tcMar>
              <w:top w:type="dxa" w:w="70"/>
              <w:left w:type="dxa" w:w="100"/>
              <w:bottom w:type="dxa" w:w="70"/>
              <w:right w:type="dxa" w:w="100"/>
            </w:tcMar>
            <w:vAlign w:val="top"/>
          </w:tcPr>
          <w:p>
            <w:pPr>
              <w:spacing w:after="0" w:line="252"/>
              <w:jc w:val="left"/>
            </w:pPr>
            <w:r>
              <w:rPr>
                <w:sz w:val="20"/>
                <w:szCs w:val="20"/>
              </w:rPr>
              <w:t xml:space="preserve">$6.2</w:t>
            </w:r>
          </w:p>
        </w:tc>
        <w:tc>
          <w:tcPr>
            <w:tcW w:type="dxa" w:w="780"/>
            <w:tcMar>
              <w:top w:type="dxa" w:w="70"/>
              <w:left w:type="dxa" w:w="100"/>
              <w:bottom w:type="dxa" w:w="70"/>
              <w:right w:type="dxa" w:w="100"/>
            </w:tcMar>
            <w:vAlign w:val="top"/>
          </w:tcPr>
          <w:p>
            <w:pPr>
              <w:spacing w:after="0" w:line="252"/>
              <w:jc w:val="left"/>
            </w:pPr>
            <w:r>
              <w:rPr>
                <w:sz w:val="20"/>
                <w:szCs w:val="20"/>
              </w:rPr>
              <w:t xml:space="preserve">$11.1</w:t>
            </w:r>
          </w:p>
        </w:tc>
        <w:tc>
          <w:tcPr>
            <w:tcW w:type="dxa" w:w="709"/>
            <w:tcMar>
              <w:top w:type="dxa" w:w="70"/>
              <w:left w:type="dxa" w:w="100"/>
              <w:bottom w:type="dxa" w:w="70"/>
              <w:right w:type="dxa" w:w="100"/>
            </w:tcMar>
            <w:vAlign w:val="top"/>
          </w:tcPr>
          <w:p>
            <w:pPr>
              <w:spacing w:after="0" w:line="252"/>
              <w:jc w:val="left"/>
            </w:pPr>
            <w:r>
              <w:rPr>
                <w:sz w:val="20"/>
                <w:szCs w:val="20"/>
              </w:rPr>
              <w:t xml:space="preserve">$8.2</w:t>
            </w:r>
          </w:p>
        </w:tc>
        <w:tc>
          <w:tcPr>
            <w:tcW w:type="dxa" w:w="709"/>
            <w:tcMar>
              <w:top w:type="dxa" w:w="70"/>
              <w:left w:type="dxa" w:w="100"/>
              <w:bottom w:type="dxa" w:w="70"/>
              <w:right w:type="dxa" w:w="100"/>
            </w:tcMar>
            <w:vAlign w:val="top"/>
          </w:tcPr>
          <w:p>
            <w:pPr>
              <w:spacing w:after="0" w:line="252"/>
              <w:jc w:val="left"/>
            </w:pPr>
            <w:r>
              <w:rPr>
                <w:sz w:val="20"/>
                <w:szCs w:val="20"/>
              </w:rPr>
              <w:t xml:space="preserve">$8.5</w:t>
            </w:r>
          </w:p>
        </w:tc>
        <w:tc>
          <w:tcPr>
            <w:tcW w:type="dxa" w:w="709"/>
            <w:tcMar>
              <w:top w:type="dxa" w:w="70"/>
              <w:left w:type="dxa" w:w="100"/>
              <w:bottom w:type="dxa" w:w="70"/>
              <w:right w:type="dxa" w:w="100"/>
            </w:tcMar>
            <w:vAlign w:val="top"/>
          </w:tcPr>
          <w:p>
            <w:pPr>
              <w:spacing w:after="0" w:line="252"/>
              <w:jc w:val="left"/>
            </w:pPr>
            <w:r>
              <w:rPr>
                <w:sz w:val="20"/>
                <w:szCs w:val="20"/>
              </w:rPr>
              <w:t xml:space="preserve">$8.2</w:t>
            </w:r>
          </w:p>
        </w:tc>
        <w:tc>
          <w:tcPr>
            <w:tcW w:type="dxa" w:w="1674"/>
            <w:tcMar>
              <w:top w:type="dxa" w:w="70"/>
              <w:left w:type="dxa" w:w="100"/>
              <w:bottom w:type="dxa" w:w="70"/>
              <w:right w:type="dxa" w:w="100"/>
            </w:tcMar>
            <w:vAlign w:val="top"/>
          </w:tcPr>
          <w:p>
            <w:pPr>
              <w:spacing w:after="0" w:line="252"/>
              <w:jc w:val="left"/>
            </w:pPr>
            <w:r>
              <w:rPr>
                <w:sz w:val="20"/>
                <w:szCs w:val="20"/>
              </w:rPr>
              <w:t xml:space="preserve">$42.2</w:t>
            </w:r>
          </w:p>
        </w:tc>
      </w:tr>
    </w:tbl>
    <w:p>
      <w:pPr>
        <w:spacing w:after="160" w:before="0"/>
      </w:pPr>
    </w:p>
    <w:p>
      <w:pPr>
        <w:spacing w:after="120" w:line="276"/>
      </w:pPr>
      <w:r>
        <w:rPr>
          <w:sz w:val="22"/>
          <w:szCs w:val="22"/>
        </w:rPr>
        <w:t xml:space="preserve">How the plan will be paid for. A low-interest state loan provides $18.0 million, state and federal grants for lead line replacement provide $6.0 million, and water rates provide the remaining $18.2 million.</w:t>
      </w:r>
    </w:p>
    <w:p>
      <w:pPr>
        <w:keepNext/>
        <w:keepLines/>
        <w:spacing w:after="120" w:line="276"/>
      </w:pPr>
      <w:r>
        <w:rPr>
          <w:sz w:val="22"/>
          <w:szCs w:val="22"/>
        </w:rPr>
        <w:t xml:space="preserve">Notes on the plan:</w:t>
      </w:r>
    </w:p>
    <w:p>
      <w:pPr>
        <w:pStyle w:val="ListParagraph"/>
        <w:keepLines/>
        <w:numPr>
          <w:ilvl w:val="0"/>
          <w:numId w:val="3"/>
        </w:numPr>
        <w:spacing w:after="60" w:line="276"/>
        <w:ind w:left="720" w:hanging="360"/>
      </w:pPr>
      <w:r>
        <w:rPr>
          <w:sz w:val="22"/>
          <w:szCs w:val="22"/>
        </w:rPr>
        <w:t xml:space="preserve">Mains are chosen for replacement by their age, material, and break history. The list of streets for each year is published every January, so this plan does not name streets.</w:t>
      </w:r>
    </w:p>
    <w:p>
      <w:pPr>
        <w:pStyle w:val="ListParagraph"/>
        <w:keepLines/>
        <w:numPr>
          <w:ilvl w:val="0"/>
          <w:numId w:val="3"/>
        </w:numPr>
        <w:spacing w:after="60" w:line="276"/>
        <w:ind w:left="720" w:hanging="360"/>
      </w:pPr>
      <w:r>
        <w:rPr>
          <w:sz w:val="22"/>
          <w:szCs w:val="22"/>
        </w:rPr>
        <w:t xml:space="preserve">Federal rules adopted in 2024 require nearly all lead service lines to be replaced within 10 years. The utility replaces the whole line, including the part on private property, at no direct charge to the property owner. Lines found to be lead during the work on unknown materials will be added to the schedule, and lines not reached by 2031 will be carried into the next plan.</w:t>
      </w:r>
    </w:p>
    <w:p>
      <w:pPr>
        <w:pStyle w:val="ListParagraph"/>
        <w:keepLines/>
        <w:numPr>
          <w:ilvl w:val="0"/>
          <w:numId w:val="3"/>
        </w:numPr>
        <w:spacing w:after="60" w:line="276"/>
        <w:ind w:left="720" w:hanging="360"/>
      </w:pPr>
      <w:r>
        <w:rPr>
          <w:sz w:val="22"/>
          <w:szCs w:val="22"/>
        </w:rPr>
        <w:t xml:space="preserve">Well 3 treatment will use granular activated carbon, a filter material that captures PFAS. Design takes place in 2027 and construction in 2028. If construction bids are higher than estimated or equipment arrives late, startup could move into 2029.</w:t>
      </w:r>
    </w:p>
    <w:p>
      <w:pPr>
        <w:pStyle w:val="ListParagraph"/>
        <w:keepLines/>
        <w:numPr>
          <w:ilvl w:val="0"/>
          <w:numId w:val="3"/>
        </w:numPr>
        <w:spacing w:after="60" w:line="276"/>
        <w:ind w:left="720" w:hanging="360"/>
      </w:pPr>
      <w:r>
        <w:rPr>
          <w:sz w:val="22"/>
          <w:szCs w:val="22"/>
        </w:rPr>
        <w:t xml:space="preserve">At 2.0 to 3.0 miles a year, replacing all 38 miles of pre-1960 main will take longer than this five-year plan.</w:t>
      </w:r>
    </w:p>
    <w:p>
      <w:pPr>
        <w:spacing w:after="40" w:before="0" w:line="120" w:lineRule="exact"/>
      </w:pPr>
    </w:p>
    <w:p>
      <w:pPr>
        <w:keepNext/>
        <w:keepLines/>
        <w:spacing w:after="120" w:line="276"/>
      </w:pPr>
      <w:r>
        <w:rPr>
          <w:b/>
          <w:bCs/>
          <w:sz w:val="22"/>
          <w:szCs w:val="22"/>
        </w:rPr>
        <w:t xml:space="preserve">Document 3. Notice of Proposed Water Rate Change</w:t>
      </w:r>
    </w:p>
    <w:p>
      <w:pPr>
        <w:spacing w:after="120" w:line="276"/>
      </w:pPr>
      <w:r>
        <w:rPr>
          <w:i/>
          <w:iCs/>
          <w:sz w:val="22"/>
          <w:szCs w:val="22"/>
        </w:rPr>
        <w:t xml:space="preserve">Havenbrook Municipal Water. Mailed to all customers in September 2026.</w:t>
      </w:r>
    </w:p>
    <w:p>
      <w:pPr>
        <w:keepNext/>
        <w:keepLines/>
        <w:spacing w:after="120" w:line="276"/>
      </w:pPr>
      <w:r>
        <w:rPr>
          <w:sz w:val="22"/>
          <w:szCs w:val="22"/>
        </w:rPr>
        <w:t xml:space="preserve">The Board of Water Commissioners proposes new water rates beginning January 1, 2027. The board will hold a public hearing before it votes. Sewer charges are set by the Havenbrook County Sewer Authority and are not part of this notice.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716"/>
        <w:gridCol w:w="2182"/>
        <w:gridCol w:w="2182"/>
      </w:tblGrid>
      <w:tr>
        <w:trPr>
          <w:cantSplit/>
          <w:tblHeader/>
        </w:trPr>
        <w:tc>
          <w:tcPr>
            <w:tcW w:type="dxa" w:w="571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Monthly bill for a typical home using 5,000 gallons</w:t>
            </w:r>
          </w:p>
        </w:tc>
        <w:tc>
          <w:tcPr>
            <w:tcW w:type="dxa" w:w="218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Current rate</w:t>
            </w:r>
          </w:p>
        </w:tc>
        <w:tc>
          <w:tcPr>
            <w:tcW w:type="dxa" w:w="218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Proposed rate</w:t>
            </w:r>
          </w:p>
        </w:tc>
      </w:tr>
      <w:tr>
        <w:trPr>
          <w:cantSplit/>
        </w:trPr>
        <w:tc>
          <w:tcPr>
            <w:tcW w:type="dxa" w:w="5716"/>
            <w:tcMar>
              <w:top w:type="dxa" w:w="70"/>
              <w:left w:type="dxa" w:w="100"/>
              <w:bottom w:type="dxa" w:w="70"/>
              <w:right w:type="dxa" w:w="100"/>
            </w:tcMar>
            <w:vAlign w:val="top"/>
          </w:tcPr>
          <w:p>
            <w:pPr>
              <w:keepNext/>
              <w:spacing w:after="0" w:line="252"/>
              <w:jc w:val="left"/>
            </w:pPr>
            <w:r>
              <w:rPr>
                <w:sz w:val="22"/>
                <w:szCs w:val="22"/>
              </w:rPr>
              <w:t xml:space="preserve">Base charge (the same every month)</w:t>
            </w:r>
          </w:p>
        </w:tc>
        <w:tc>
          <w:tcPr>
            <w:tcW w:type="dxa" w:w="2182"/>
            <w:tcMar>
              <w:top w:type="dxa" w:w="70"/>
              <w:left w:type="dxa" w:w="100"/>
              <w:bottom w:type="dxa" w:w="70"/>
              <w:right w:type="dxa" w:w="100"/>
            </w:tcMar>
            <w:vAlign w:val="top"/>
          </w:tcPr>
          <w:p>
            <w:pPr>
              <w:keepNext/>
              <w:spacing w:after="0" w:line="252"/>
              <w:jc w:val="left"/>
            </w:pPr>
            <w:r>
              <w:rPr>
                <w:sz w:val="22"/>
                <w:szCs w:val="22"/>
              </w:rPr>
              <w:t xml:space="preserve">$18.40</w:t>
            </w:r>
          </w:p>
        </w:tc>
        <w:tc>
          <w:tcPr>
            <w:tcW w:type="dxa" w:w="2182"/>
            <w:tcMar>
              <w:top w:type="dxa" w:w="70"/>
              <w:left w:type="dxa" w:w="100"/>
              <w:bottom w:type="dxa" w:w="70"/>
              <w:right w:type="dxa" w:w="100"/>
            </w:tcMar>
            <w:vAlign w:val="top"/>
          </w:tcPr>
          <w:p>
            <w:pPr>
              <w:keepNext/>
              <w:spacing w:after="0" w:line="252"/>
              <w:jc w:val="left"/>
            </w:pPr>
            <w:r>
              <w:rPr>
                <w:sz w:val="22"/>
                <w:szCs w:val="22"/>
              </w:rPr>
              <w:t xml:space="preserve">$20.00</w:t>
            </w:r>
          </w:p>
        </w:tc>
      </w:tr>
      <w:tr>
        <w:trPr>
          <w:cantSplit/>
        </w:trPr>
        <w:tc>
          <w:tcPr>
            <w:tcW w:type="dxa" w:w="5716"/>
            <w:tcMar>
              <w:top w:type="dxa" w:w="70"/>
              <w:left w:type="dxa" w:w="100"/>
              <w:bottom w:type="dxa" w:w="70"/>
              <w:right w:type="dxa" w:w="100"/>
            </w:tcMar>
            <w:vAlign w:val="top"/>
          </w:tcPr>
          <w:p>
            <w:pPr>
              <w:keepNext/>
              <w:spacing w:after="0" w:line="252"/>
              <w:jc w:val="left"/>
            </w:pPr>
            <w:r>
              <w:rPr>
                <w:sz w:val="22"/>
                <w:szCs w:val="22"/>
              </w:rPr>
              <w:t xml:space="preserve">Water use charge, per 1,000 gallons</w:t>
            </w:r>
          </w:p>
        </w:tc>
        <w:tc>
          <w:tcPr>
            <w:tcW w:type="dxa" w:w="2182"/>
            <w:tcMar>
              <w:top w:type="dxa" w:w="70"/>
              <w:left w:type="dxa" w:w="100"/>
              <w:bottom w:type="dxa" w:w="70"/>
              <w:right w:type="dxa" w:w="100"/>
            </w:tcMar>
            <w:vAlign w:val="top"/>
          </w:tcPr>
          <w:p>
            <w:pPr>
              <w:keepNext/>
              <w:spacing w:after="0" w:line="252"/>
              <w:jc w:val="left"/>
            </w:pPr>
            <w:r>
              <w:rPr>
                <w:sz w:val="22"/>
                <w:szCs w:val="22"/>
              </w:rPr>
              <w:t xml:space="preserve">$6.04</w:t>
            </w:r>
          </w:p>
        </w:tc>
        <w:tc>
          <w:tcPr>
            <w:tcW w:type="dxa" w:w="2182"/>
            <w:tcMar>
              <w:top w:type="dxa" w:w="70"/>
              <w:left w:type="dxa" w:w="100"/>
              <w:bottom w:type="dxa" w:w="70"/>
              <w:right w:type="dxa" w:w="100"/>
            </w:tcMar>
            <w:vAlign w:val="top"/>
          </w:tcPr>
          <w:p>
            <w:pPr>
              <w:keepNext/>
              <w:spacing w:after="0" w:line="252"/>
              <w:jc w:val="left"/>
            </w:pPr>
            <w:r>
              <w:rPr>
                <w:sz w:val="22"/>
                <w:szCs w:val="22"/>
              </w:rPr>
              <w:t xml:space="preserve">$6.60</w:t>
            </w:r>
          </w:p>
        </w:tc>
      </w:tr>
      <w:tr>
        <w:trPr>
          <w:cantSplit/>
        </w:trPr>
        <w:tc>
          <w:tcPr>
            <w:tcW w:type="dxa" w:w="5716"/>
            <w:tcMar>
              <w:top w:type="dxa" w:w="70"/>
              <w:left w:type="dxa" w:w="100"/>
              <w:bottom w:type="dxa" w:w="70"/>
              <w:right w:type="dxa" w:w="100"/>
            </w:tcMar>
            <w:vAlign w:val="top"/>
          </w:tcPr>
          <w:p>
            <w:pPr>
              <w:keepNext/>
              <w:spacing w:after="0" w:line="252"/>
              <w:jc w:val="left"/>
            </w:pPr>
            <w:r>
              <w:rPr>
                <w:sz w:val="22"/>
                <w:szCs w:val="22"/>
              </w:rPr>
              <w:t xml:space="preserve">Water use charge for 5,000 gallons</w:t>
            </w:r>
          </w:p>
        </w:tc>
        <w:tc>
          <w:tcPr>
            <w:tcW w:type="dxa" w:w="2182"/>
            <w:tcMar>
              <w:top w:type="dxa" w:w="70"/>
              <w:left w:type="dxa" w:w="100"/>
              <w:bottom w:type="dxa" w:w="70"/>
              <w:right w:type="dxa" w:w="100"/>
            </w:tcMar>
            <w:vAlign w:val="top"/>
          </w:tcPr>
          <w:p>
            <w:pPr>
              <w:keepNext/>
              <w:spacing w:after="0" w:line="252"/>
              <w:jc w:val="left"/>
            </w:pPr>
            <w:r>
              <w:rPr>
                <w:sz w:val="22"/>
                <w:szCs w:val="22"/>
              </w:rPr>
              <w:t xml:space="preserve">$30.20</w:t>
            </w:r>
          </w:p>
        </w:tc>
        <w:tc>
          <w:tcPr>
            <w:tcW w:type="dxa" w:w="2182"/>
            <w:tcMar>
              <w:top w:type="dxa" w:w="70"/>
              <w:left w:type="dxa" w:w="100"/>
              <w:bottom w:type="dxa" w:w="70"/>
              <w:right w:type="dxa" w:w="100"/>
            </w:tcMar>
            <w:vAlign w:val="top"/>
          </w:tcPr>
          <w:p>
            <w:pPr>
              <w:keepNext/>
              <w:spacing w:after="0" w:line="252"/>
              <w:jc w:val="left"/>
            </w:pPr>
            <w:r>
              <w:rPr>
                <w:sz w:val="22"/>
                <w:szCs w:val="22"/>
              </w:rPr>
              <w:t xml:space="preserve">$33.00</w:t>
            </w:r>
          </w:p>
        </w:tc>
      </w:tr>
      <w:tr>
        <w:trPr>
          <w:cantSplit/>
        </w:trPr>
        <w:tc>
          <w:tcPr>
            <w:tcW w:type="dxa" w:w="5716"/>
            <w:tcMar>
              <w:top w:type="dxa" w:w="70"/>
              <w:left w:type="dxa" w:w="100"/>
              <w:bottom w:type="dxa" w:w="70"/>
              <w:right w:type="dxa" w:w="100"/>
            </w:tcMar>
            <w:vAlign w:val="top"/>
          </w:tcPr>
          <w:p>
            <w:pPr>
              <w:spacing w:after="0" w:line="252"/>
              <w:jc w:val="left"/>
            </w:pPr>
            <w:r>
              <w:rPr>
                <w:sz w:val="22"/>
                <w:szCs w:val="22"/>
              </w:rPr>
              <w:t xml:space="preserve">Total monthly bill</w:t>
            </w:r>
          </w:p>
        </w:tc>
        <w:tc>
          <w:tcPr>
            <w:tcW w:type="dxa" w:w="2182"/>
            <w:tcMar>
              <w:top w:type="dxa" w:w="70"/>
              <w:left w:type="dxa" w:w="100"/>
              <w:bottom w:type="dxa" w:w="70"/>
              <w:right w:type="dxa" w:w="100"/>
            </w:tcMar>
            <w:vAlign w:val="top"/>
          </w:tcPr>
          <w:p>
            <w:pPr>
              <w:spacing w:after="0" w:line="252"/>
              <w:jc w:val="left"/>
            </w:pPr>
            <w:r>
              <w:rPr>
                <w:sz w:val="22"/>
                <w:szCs w:val="22"/>
              </w:rPr>
              <w:t xml:space="preserve">$48.60</w:t>
            </w:r>
          </w:p>
        </w:tc>
        <w:tc>
          <w:tcPr>
            <w:tcW w:type="dxa" w:w="2182"/>
            <w:tcMar>
              <w:top w:type="dxa" w:w="70"/>
              <w:left w:type="dxa" w:w="100"/>
              <w:bottom w:type="dxa" w:w="70"/>
              <w:right w:type="dxa" w:w="100"/>
            </w:tcMar>
            <w:vAlign w:val="top"/>
          </w:tcPr>
          <w:p>
            <w:pPr>
              <w:spacing w:after="0" w:line="252"/>
              <w:jc w:val="left"/>
            </w:pPr>
            <w:r>
              <w:rPr>
                <w:sz w:val="22"/>
                <w:szCs w:val="22"/>
              </w:rPr>
              <w:t xml:space="preserve">$53.00</w:t>
            </w:r>
          </w:p>
        </w:tc>
      </w:tr>
    </w:tbl>
    <w:p>
      <w:pPr>
        <w:spacing w:after="160" w:before="0"/>
      </w:pPr>
    </w:p>
    <w:p>
      <w:pPr>
        <w:spacing w:after="120" w:line="276"/>
      </w:pPr>
      <w:r>
        <w:rPr>
          <w:sz w:val="22"/>
          <w:szCs w:val="22"/>
        </w:rPr>
        <w:t xml:space="preserve">For a typical home, the bill would rise by $4.40 a month, or about 9 percent, which is $52.80 more over a year. Homes that use more water would see a larger increase, and homes that use less would see a smaller one.</w:t>
      </w:r>
    </w:p>
    <w:p>
      <w:pPr>
        <w:spacing w:after="120" w:line="276"/>
      </w:pPr>
      <w:r>
        <w:rPr>
          <w:sz w:val="22"/>
          <w:szCs w:val="22"/>
        </w:rPr>
        <w:t xml:space="preserve">Why the board is proposing an increase. Of the added money the new rates would bring in, about 62 percent would pay for the capital plan, including payments on the state loan; about 23 percent would cover higher costs for treatment chemicals and electricity; and about 15 percent would cover staff wages and benefits.</w:t>
      </w:r>
    </w:p>
    <w:p>
      <w:pPr>
        <w:spacing w:after="120" w:line="276"/>
      </w:pPr>
      <w:r>
        <w:rPr>
          <w:sz w:val="22"/>
          <w:szCs w:val="22"/>
        </w:rPr>
        <w:t xml:space="preserve">What comes next. The board expects to consider another increase for 2028 once construction bids for the Well 3 treatment project are opened. No decision about 2028 rates has been made, and the amount of any further increase is not known.</w:t>
      </w:r>
    </w:p>
    <w:p>
      <w:pPr>
        <w:spacing w:after="120" w:line="276"/>
      </w:pPr>
      <w:r>
        <w:rPr>
          <w:sz w:val="22"/>
          <w:szCs w:val="22"/>
        </w:rPr>
        <w:t xml:space="preserve">Help with your bill. Households that qualify for state home energy assistance may receive a 20 percent discount on the base charge through the Havenbrook Customer Assistance Program. Call customer service to apply.</w:t>
      </w:r>
    </w:p>
    <w:p>
      <w:pPr>
        <w:keepNext/>
        <w:keepLines/>
        <w:spacing w:after="120" w:line="276"/>
      </w:pPr>
      <w:r>
        <w:rPr>
          <w:b/>
          <w:bCs/>
          <w:sz w:val="22"/>
          <w:szCs w:val="22"/>
        </w:rPr>
        <w:t xml:space="preserve">Document 4. Public meeting on the proposed rate change: resident questions (transcript page)</w:t>
      </w:r>
    </w:p>
    <w:p>
      <w:pPr>
        <w:spacing w:after="120" w:line="276"/>
      </w:pPr>
      <w:r>
        <w:rPr>
          <w:i/>
          <w:iCs/>
          <w:sz w:val="22"/>
          <w:szCs w:val="22"/>
        </w:rPr>
        <w:t xml:space="preserve">Havenbrook Municipal Water, public information meeting held at the Havenbrook Public Library in October 2026. The chair announced that written answers would be posted after the meeting, so staff did not answer at the microphone.</w:t>
      </w:r>
    </w:p>
    <w:p>
      <w:pPr>
        <w:spacing w:after="120" w:line="276"/>
      </w:pPr>
      <w:r>
        <w:rPr>
          <w:sz w:val="22"/>
          <w:szCs w:val="22"/>
        </w:rPr>
        <w:t xml:space="preserve">Q1. Marisol Ortega, Fenner Street: "I have a three-month-old, and I mix her formula with tap water. The report says lead was found. Is it safe for me to keep doing that?"</w:t>
      </w:r>
    </w:p>
    <w:p>
      <w:pPr>
        <w:spacing w:after="120" w:line="276"/>
      </w:pPr>
      <w:r>
        <w:rPr>
          <w:sz w:val="22"/>
          <w:szCs w:val="22"/>
        </w:rPr>
        <w:t xml:space="preserve">Q2. Dale Whitcomb, Orchard Lane: "My house was built in 1948. How do I find out whether I have a lead pipe, and if I do, who pays to replace it?"</w:t>
      </w:r>
    </w:p>
    <w:p>
      <w:pPr>
        <w:spacing w:after="120" w:line="276"/>
      </w:pPr>
      <w:r>
        <w:rPr>
          <w:sz w:val="22"/>
          <w:szCs w:val="22"/>
        </w:rPr>
        <w:t xml:space="preserve">Q3. Priya Natarajan, Hollis Court: "What exactly is PFAS, and is it coming out of my tap? I live north of Route 9."</w:t>
      </w:r>
    </w:p>
    <w:p>
      <w:pPr>
        <w:spacing w:after="120" w:line="276"/>
      </w:pPr>
      <w:r>
        <w:rPr>
          <w:sz w:val="22"/>
          <w:szCs w:val="22"/>
        </w:rPr>
        <w:t xml:space="preserve">Q4. Gene Kowal, Birch Road: "How much is my bill going up, and why should I pay more when the report says the water already meets the standards?"</w:t>
      </w:r>
    </w:p>
    <w:p>
      <w:pPr>
        <w:spacing w:after="120" w:line="276"/>
      </w:pPr>
      <w:r>
        <w:rPr>
          <w:sz w:val="22"/>
          <w:szCs w:val="22"/>
        </w:rPr>
        <w:t xml:space="preserve">Q5. Ruth Abernathy, Mill Street: "Our block has had two main breaks since spring. Is Mill Street on the list to be replaced, and when?"</w:t>
      </w:r>
    </w:p>
    <w:p>
      <w:pPr>
        <w:spacing w:after="120" w:line="276"/>
      </w:pPr>
      <w:r>
        <w:rPr>
          <w:sz w:val="22"/>
          <w:szCs w:val="22"/>
        </w:rPr>
        <w:t xml:space="preserve">Q6. Tomas Reyes, Lake Drive: "Some mornings my water smells like a swimming pool. Is something wrong?"</w:t>
      </w:r>
    </w:p>
    <w:p>
      <w:pPr>
        <w:spacing w:after="120" w:line="276"/>
      </w:pPr>
      <w:r>
        <w:rPr>
          <w:sz w:val="22"/>
          <w:szCs w:val="22"/>
        </w:rPr>
        <w:t xml:space="preserve">Q7. Ann Liu, Ridge Avenue: "If we accept this increase, are rates going to go up again the year after?"</w:t>
      </w:r>
    </w:p>
    <w:p>
      <w:pPr>
        <w:spacing w:after="120" w:line="276"/>
      </w:pPr>
      <w:r>
        <w:rPr>
          <w:sz w:val="22"/>
          <w:szCs w:val="22"/>
        </w:rPr>
        <w:t xml:space="preserve">Q8. Carl Brandt, Depot Street: "Wouldn't it be simpler for all of us to switch to bottled water?"</w:t>
      </w:r>
    </w:p>
    <w:p>
      <w:pPr>
        <w:spacing w:after="120" w:line="276"/>
      </w:pPr>
      <w:r>
        <w:rPr>
          <w:sz w:val="22"/>
          <w:szCs w:val="22"/>
        </w:rPr>
        <w:t xml:space="preserve">Q9. Denise Moore, Fenner Street: "I live on a fixed income. Is there any help paying the bill?"</w:t>
      </w:r>
    </w:p>
    <w:p>
      <w:pPr>
        <w:pStyle w:val="Heading2"/>
        <w:keepNext/>
        <w:keepLines/>
      </w:pPr>
      <w:r>
        <w:rPr>
          <w:sz w:val="28"/>
          <w:szCs w:val="28"/>
        </w:rPr>
        <w:t xml:space="preserve">Milestones</w:t>
      </w:r>
    </w:p>
    <w:p>
      <w:pPr>
        <w:pStyle w:val="ListParagraph"/>
        <w:keepLines/>
        <w:numPr>
          <w:ilvl w:val="0"/>
          <w:numId w:val="4"/>
        </w:numPr>
        <w:spacing w:after="60" w:line="276"/>
        <w:ind w:left="720" w:hanging="360"/>
      </w:pPr>
      <w:r>
        <w:rPr>
          <w:b/>
          <w:bCs/>
          <w:sz w:val="22"/>
          <w:szCs w:val="22"/>
        </w:rPr>
        <w:t xml:space="preserve">Session 1, question inventory.</w:t>
      </w:r>
      <w:r>
        <w:rPr>
          <w:sz w:val="22"/>
          <w:szCs w:val="22"/>
        </w:rPr>
        <w:t xml:space="preserve"> Read the packet as a team. Turn in one page listing the five resident questions from Document 4 that your explainer will answer, and, beside each one, the document or documents that hold the answer. Some questions can be answered only in part from the packet. Mark each of those, and note what the packet leaves out and what kind of outside source might fill the gap.</w:t>
      </w:r>
    </w:p>
    <w:p>
      <w:pPr>
        <w:pStyle w:val="ListParagraph"/>
        <w:keepLines/>
        <w:numPr>
          <w:ilvl w:val="0"/>
          <w:numId w:val="4"/>
        </w:numPr>
        <w:spacing w:after="60" w:line="276"/>
        <w:ind w:left="720" w:hanging="360"/>
      </w:pPr>
      <w:r>
        <w:rPr>
          <w:b/>
          <w:bCs/>
          <w:sz w:val="22"/>
          <w:szCs w:val="22"/>
        </w:rPr>
        <w:t xml:space="preserve">Session 2, annotated source list.</w:t>
      </w:r>
      <w:r>
        <w:rPr>
          <w:sz w:val="22"/>
          <w:szCs w:val="22"/>
        </w:rPr>
        <w:t xml:space="preserve"> Locate your outside source and turn in a source list with one sentence per source explaining what it contributes and one sentence explaining why it is reliable. Name the publisher of your outside source and the date it was last updated. Narrow or broaden your five questions if the packet turned out to be thinner or richer than you expected, and note any change you made.</w:t>
      </w:r>
    </w:p>
    <w:p>
      <w:pPr>
        <w:pStyle w:val="ListParagraph"/>
        <w:keepLines/>
        <w:numPr>
          <w:ilvl w:val="0"/>
          <w:numId w:val="4"/>
        </w:numPr>
        <w:spacing w:after="60" w:line="276"/>
        <w:ind w:left="720" w:hanging="360"/>
      </w:pPr>
      <w:r>
        <w:rPr>
          <w:b/>
          <w:bCs/>
          <w:sz w:val="22"/>
          <w:szCs w:val="22"/>
        </w:rPr>
        <w:t xml:space="preserve">Session 3, glossary and page map.</w:t>
      </w:r>
      <w:r>
        <w:rPr>
          <w:sz w:val="22"/>
          <w:szCs w:val="22"/>
        </w:rPr>
        <w:t xml:space="preserve"> Turn in the glossary of at least eight terms with plain definitions, plus a page map showing what goes on each of the four pages and roughly how much space each part gets. The page map must show where the chart or diagram will sit and name the packet table its numbers come from.</w:t>
      </w:r>
    </w:p>
    <w:p>
      <w:pPr>
        <w:pStyle w:val="ListParagraph"/>
        <w:keepLines/>
        <w:numPr>
          <w:ilvl w:val="0"/>
          <w:numId w:val="4"/>
        </w:numPr>
        <w:spacing w:after="60" w:line="276"/>
        <w:ind w:left="720" w:hanging="360"/>
      </w:pPr>
      <w:r>
        <w:rPr>
          <w:b/>
          <w:bCs/>
          <w:sz w:val="22"/>
          <w:szCs w:val="22"/>
        </w:rPr>
        <w:t xml:space="preserve">Session 4, full draft and peer review.</w:t>
      </w:r>
      <w:r>
        <w:rPr>
          <w:sz w:val="22"/>
          <w:szCs w:val="22"/>
        </w:rPr>
        <w:t xml:space="preserve"> Turn in a complete draft with the chart or diagram in place. Exchange drafts with another team, score the draft against the rubric, and write two specific revisions the other team should make. Turn in the reviewed draft with your two revisions named on it.</w:t>
      </w:r>
    </w:p>
    <w:p>
      <w:pPr>
        <w:pStyle w:val="ListParagraph"/>
        <w:keepLines/>
        <w:numPr>
          <w:ilvl w:val="0"/>
          <w:numId w:val="4"/>
        </w:numPr>
        <w:spacing w:after="60" w:line="276"/>
        <w:ind w:left="720" w:hanging="360"/>
      </w:pPr>
      <w:r>
        <w:rPr>
          <w:b/>
          <w:bCs/>
          <w:sz w:val="22"/>
          <w:szCs w:val="22"/>
        </w:rPr>
        <w:t xml:space="preserve">Session 5, final explainer and panel.</w:t>
      </w:r>
      <w:r>
        <w:rPr>
          <w:sz w:val="22"/>
          <w:szCs w:val="22"/>
        </w:rPr>
        <w:t xml:space="preserve"> Turn in the final four-page explainer and the works cited page, then present for three minutes to the library board panel and answer one question about a choice your team made.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The Havenbrook Water Explainer: A Research Writing Project</w:t>
      </w:r>
    </w:p>
    <w:p>
      <w:pPr>
        <w:keepNext/>
        <w:spacing w:after="160"/>
      </w:pPr>
      <w:r>
        <w:rPr>
          <w:color w:val="5B6B70"/>
          <w:sz w:val="20"/>
          <w:szCs w:val="20"/>
        </w:rPr>
        <w:t xml:space="preserve">Project · Grade 10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731"/>
        <w:gridCol w:w="3022"/>
        <w:gridCol w:w="3210"/>
        <w:gridCol w:w="3209"/>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73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2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1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20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Research and sources</w:t>
            </w:r>
          </w:p>
        </w:tc>
        <w:tc>
          <w:tcPr>
            <w:tcW w:type="dxa" w:w="2731"/>
            <w:tcMar>
              <w:top w:type="dxa" w:w="70"/>
              <w:left w:type="dxa" w:w="100"/>
              <w:bottom w:type="dxa" w:w="70"/>
              <w:right w:type="dxa" w:w="100"/>
            </w:tcMar>
            <w:vAlign w:val="top"/>
          </w:tcPr>
          <w:p>
            <w:pPr>
              <w:keepNext/>
              <w:spacing w:after="0" w:line="252"/>
              <w:jc w:val="left"/>
            </w:pPr>
            <w:r>
              <w:rPr>
                <w:sz w:val="20"/>
                <w:szCs w:val="20"/>
              </w:rPr>
              <w:t xml:space="preserve">Uses one or two documents and no outside source.</w:t>
            </w:r>
          </w:p>
        </w:tc>
        <w:tc>
          <w:tcPr>
            <w:tcW w:type="dxa" w:w="3022"/>
            <w:tcMar>
              <w:top w:type="dxa" w:w="70"/>
              <w:left w:type="dxa" w:w="100"/>
              <w:bottom w:type="dxa" w:w="70"/>
              <w:right w:type="dxa" w:w="100"/>
            </w:tcMar>
            <w:vAlign w:val="top"/>
          </w:tcPr>
          <w:p>
            <w:pPr>
              <w:keepNext/>
              <w:spacing w:after="0" w:line="252"/>
              <w:jc w:val="left"/>
            </w:pPr>
            <w:r>
              <w:rPr>
                <w:sz w:val="20"/>
                <w:szCs w:val="20"/>
              </w:rPr>
              <w:t xml:space="preserve">Uses most of the packet and an outside source that is named but not evaluated.</w:t>
            </w:r>
          </w:p>
        </w:tc>
        <w:tc>
          <w:tcPr>
            <w:tcW w:type="dxa" w:w="3210"/>
            <w:tcMar>
              <w:top w:type="dxa" w:w="70"/>
              <w:left w:type="dxa" w:w="100"/>
              <w:bottom w:type="dxa" w:w="70"/>
              <w:right w:type="dxa" w:w="100"/>
            </w:tcMar>
            <w:vAlign w:val="top"/>
          </w:tcPr>
          <w:p>
            <w:pPr>
              <w:keepNext/>
              <w:spacing w:after="0" w:line="252"/>
              <w:jc w:val="left"/>
            </w:pPr>
            <w:r>
              <w:rPr>
                <w:sz w:val="20"/>
                <w:szCs w:val="20"/>
              </w:rPr>
              <w:t xml:space="preserve">Synthesizes all four documents and one evaluated outside source, with each answer traced to its document.</w:t>
            </w:r>
          </w:p>
        </w:tc>
        <w:tc>
          <w:tcPr>
            <w:tcW w:type="dxa" w:w="3209"/>
            <w:tcMar>
              <w:top w:type="dxa" w:w="70"/>
              <w:left w:type="dxa" w:w="100"/>
              <w:bottom w:type="dxa" w:w="70"/>
              <w:right w:type="dxa" w:w="100"/>
            </w:tcMar>
            <w:vAlign w:val="top"/>
          </w:tcPr>
          <w:p>
            <w:pPr>
              <w:keepNext/>
              <w:spacing w:after="0" w:line="252"/>
              <w:jc w:val="left"/>
            </w:pPr>
            <w:r>
              <w:rPr>
                <w:sz w:val="20"/>
                <w:szCs w:val="20"/>
              </w:rPr>
              <w:t xml:space="preserve">Reconciles a difference between two sources and explains in the text which one governs and why.</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Accuracy and plain language</w:t>
            </w:r>
          </w:p>
        </w:tc>
        <w:tc>
          <w:tcPr>
            <w:tcW w:type="dxa" w:w="2731"/>
            <w:tcMar>
              <w:top w:type="dxa" w:w="70"/>
              <w:left w:type="dxa" w:w="100"/>
              <w:bottom w:type="dxa" w:w="70"/>
              <w:right w:type="dxa" w:w="100"/>
            </w:tcMar>
            <w:vAlign w:val="top"/>
          </w:tcPr>
          <w:p>
            <w:pPr>
              <w:keepNext/>
              <w:spacing w:after="0" w:line="252"/>
              <w:jc w:val="left"/>
            </w:pPr>
            <w:r>
              <w:rPr>
                <w:sz w:val="20"/>
                <w:szCs w:val="20"/>
              </w:rPr>
              <w:t xml:space="preserve">Restates technical wording without explaining it, or simplifies until the meaning changes.</w:t>
            </w:r>
          </w:p>
        </w:tc>
        <w:tc>
          <w:tcPr>
            <w:tcW w:type="dxa" w:w="3022"/>
            <w:tcMar>
              <w:top w:type="dxa" w:w="70"/>
              <w:left w:type="dxa" w:w="100"/>
              <w:bottom w:type="dxa" w:w="70"/>
              <w:right w:type="dxa" w:w="100"/>
            </w:tcMar>
            <w:vAlign w:val="top"/>
          </w:tcPr>
          <w:p>
            <w:pPr>
              <w:keepNext/>
              <w:spacing w:after="0" w:line="252"/>
              <w:jc w:val="left"/>
            </w:pPr>
            <w:r>
              <w:rPr>
                <w:sz w:val="20"/>
                <w:szCs w:val="20"/>
              </w:rPr>
              <w:t xml:space="preserve">Explains some terms clearly while leaving others in the utility's own wording.</w:t>
            </w:r>
          </w:p>
        </w:tc>
        <w:tc>
          <w:tcPr>
            <w:tcW w:type="dxa" w:w="3210"/>
            <w:tcMar>
              <w:top w:type="dxa" w:w="70"/>
              <w:left w:type="dxa" w:w="100"/>
              <w:bottom w:type="dxa" w:w="70"/>
              <w:right w:type="dxa" w:w="100"/>
            </w:tcMar>
            <w:vAlign w:val="top"/>
          </w:tcPr>
          <w:p>
            <w:pPr>
              <w:keepNext/>
              <w:spacing w:after="0" w:line="252"/>
              <w:jc w:val="left"/>
            </w:pPr>
            <w:r>
              <w:rPr>
                <w:sz w:val="20"/>
                <w:szCs w:val="20"/>
              </w:rPr>
              <w:t xml:space="preserve">Explains every glossary term in plain sentences that keep the original meaning, and answers five resident questions accurately.</w:t>
            </w:r>
          </w:p>
        </w:tc>
        <w:tc>
          <w:tcPr>
            <w:tcW w:type="dxa" w:w="3209"/>
            <w:tcMar>
              <w:top w:type="dxa" w:w="70"/>
              <w:left w:type="dxa" w:w="100"/>
              <w:bottom w:type="dxa" w:w="70"/>
              <w:right w:type="dxa" w:w="100"/>
            </w:tcMar>
            <w:vAlign w:val="top"/>
          </w:tcPr>
          <w:p>
            <w:pPr>
              <w:keepNext/>
              <w:spacing w:after="0" w:line="252"/>
              <w:jc w:val="left"/>
            </w:pPr>
            <w:r>
              <w:rPr>
                <w:sz w:val="20"/>
                <w:szCs w:val="20"/>
              </w:rPr>
              <w:t xml:space="preserve">Handles an uncertain finding honestly, stating what is known, what is not, and what the utility has committed to do.</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Constraints and organization</w:t>
            </w:r>
          </w:p>
        </w:tc>
        <w:tc>
          <w:tcPr>
            <w:tcW w:type="dxa" w:w="2731"/>
            <w:tcMar>
              <w:top w:type="dxa" w:w="70"/>
              <w:left w:type="dxa" w:w="100"/>
              <w:bottom w:type="dxa" w:w="70"/>
              <w:right w:type="dxa" w:w="100"/>
            </w:tcMar>
            <w:vAlign w:val="top"/>
          </w:tcPr>
          <w:p>
            <w:pPr>
              <w:keepNext/>
              <w:spacing w:after="0" w:line="252"/>
              <w:jc w:val="left"/>
            </w:pPr>
            <w:r>
              <w:rPr>
                <w:sz w:val="20"/>
                <w:szCs w:val="20"/>
              </w:rPr>
              <w:t xml:space="preserve">Exceeds the page limit or omits required parts.</w:t>
            </w:r>
          </w:p>
        </w:tc>
        <w:tc>
          <w:tcPr>
            <w:tcW w:type="dxa" w:w="3022"/>
            <w:tcMar>
              <w:top w:type="dxa" w:w="70"/>
              <w:left w:type="dxa" w:w="100"/>
              <w:bottom w:type="dxa" w:w="70"/>
              <w:right w:type="dxa" w:w="100"/>
            </w:tcMar>
            <w:vAlign w:val="top"/>
          </w:tcPr>
          <w:p>
            <w:pPr>
              <w:keepNext/>
              <w:spacing w:after="0" w:line="252"/>
              <w:jc w:val="left"/>
            </w:pPr>
            <w:r>
              <w:rPr>
                <w:sz w:val="20"/>
                <w:szCs w:val="20"/>
              </w:rPr>
              <w:t xml:space="preserve">Meets the page limit but the order is hard to follow, or the chart is decorative.</w:t>
            </w:r>
          </w:p>
        </w:tc>
        <w:tc>
          <w:tcPr>
            <w:tcW w:type="dxa" w:w="3210"/>
            <w:tcMar>
              <w:top w:type="dxa" w:w="70"/>
              <w:left w:type="dxa" w:w="100"/>
              <w:bottom w:type="dxa" w:w="70"/>
              <w:right w:type="dxa" w:w="100"/>
            </w:tcMar>
            <w:vAlign w:val="top"/>
          </w:tcPr>
          <w:p>
            <w:pPr>
              <w:keepNext/>
              <w:spacing w:after="0" w:line="252"/>
              <w:jc w:val="left"/>
            </w:pPr>
            <w:r>
              <w:rPr>
                <w:sz w:val="20"/>
                <w:szCs w:val="20"/>
              </w:rPr>
              <w:t xml:space="preserve">Meets every stated constraint, and the chart is built from packet numbers and supports a point in the text.</w:t>
            </w:r>
          </w:p>
        </w:tc>
        <w:tc>
          <w:tcPr>
            <w:tcW w:type="dxa" w:w="3209"/>
            <w:tcMar>
              <w:top w:type="dxa" w:w="70"/>
              <w:left w:type="dxa" w:w="100"/>
              <w:bottom w:type="dxa" w:w="70"/>
              <w:right w:type="dxa" w:w="100"/>
            </w:tcMar>
            <w:vAlign w:val="top"/>
          </w:tcPr>
          <w:p>
            <w:pPr>
              <w:keepNext/>
              <w:spacing w:after="0" w:line="252"/>
              <w:jc w:val="left"/>
            </w:pPr>
            <w:r>
              <w:rPr>
                <w:sz w:val="20"/>
                <w:szCs w:val="20"/>
              </w:rPr>
              <w:t xml:space="preserve">Uses the page limit as a design choice, so the sequence of pages answers the reader's questions in the order a reader would ask them.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Presentation</w:t>
            </w:r>
          </w:p>
        </w:tc>
        <w:tc>
          <w:tcPr>
            <w:tcW w:type="dxa" w:w="2731"/>
            <w:tcMar>
              <w:top w:type="dxa" w:w="70"/>
              <w:left w:type="dxa" w:w="100"/>
              <w:bottom w:type="dxa" w:w="70"/>
              <w:right w:type="dxa" w:w="100"/>
            </w:tcMar>
            <w:vAlign w:val="top"/>
          </w:tcPr>
          <w:p>
            <w:pPr>
              <w:spacing w:after="0" w:line="252"/>
              <w:jc w:val="left"/>
            </w:pPr>
            <w:r>
              <w:rPr>
                <w:sz w:val="20"/>
                <w:szCs w:val="20"/>
              </w:rPr>
              <w:t xml:space="preserve">Reads from the explainer and runs over or under the time.</w:t>
            </w:r>
          </w:p>
        </w:tc>
        <w:tc>
          <w:tcPr>
            <w:tcW w:type="dxa" w:w="3022"/>
            <w:tcMar>
              <w:top w:type="dxa" w:w="70"/>
              <w:left w:type="dxa" w:w="100"/>
              <w:bottom w:type="dxa" w:w="70"/>
              <w:right w:type="dxa" w:w="100"/>
            </w:tcMar>
            <w:vAlign w:val="top"/>
          </w:tcPr>
          <w:p>
            <w:pPr>
              <w:spacing w:after="0" w:line="252"/>
              <w:jc w:val="left"/>
            </w:pPr>
            <w:r>
              <w:rPr>
                <w:sz w:val="20"/>
                <w:szCs w:val="20"/>
              </w:rPr>
              <w:t xml:space="preserve">Covers the content within the time with uneven delivery.</w:t>
            </w:r>
          </w:p>
        </w:tc>
        <w:tc>
          <w:tcPr>
            <w:tcW w:type="dxa" w:w="3210"/>
            <w:tcMar>
              <w:top w:type="dxa" w:w="70"/>
              <w:left w:type="dxa" w:w="100"/>
              <w:bottom w:type="dxa" w:w="70"/>
              <w:right w:type="dxa" w:w="100"/>
            </w:tcMar>
            <w:vAlign w:val="top"/>
          </w:tcPr>
          <w:p>
            <w:pPr>
              <w:spacing w:after="0" w:line="252"/>
              <w:jc w:val="left"/>
            </w:pPr>
            <w:r>
              <w:rPr>
                <w:sz w:val="20"/>
                <w:szCs w:val="20"/>
              </w:rPr>
              <w:t xml:space="preserve">Presents the explainer clearly in three minutes and answers the panel's question directly.</w:t>
            </w:r>
          </w:p>
        </w:tc>
        <w:tc>
          <w:tcPr>
            <w:tcW w:type="dxa" w:w="3209"/>
            <w:tcMar>
              <w:top w:type="dxa" w:w="70"/>
              <w:left w:type="dxa" w:w="100"/>
              <w:bottom w:type="dxa" w:w="70"/>
              <w:right w:type="dxa" w:w="100"/>
            </w:tcMar>
            <w:vAlign w:val="top"/>
          </w:tcPr>
          <w:p>
            <w:pPr>
              <w:spacing w:after="0" w:line="252"/>
              <w:jc w:val="left"/>
            </w:pPr>
            <w:r>
              <w:rPr>
                <w:sz w:val="20"/>
                <w:szCs w:val="20"/>
              </w:rPr>
              <w:t xml:space="preserve">Defends a specific cut or inclusion with reasoning about the reader, not about team preference.</w:t>
            </w: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pStyle w:val="Heading3"/>
        <w:keepNext/>
        <w:keepLines/>
      </w:pPr>
      <w:r>
        <w:rPr>
          <w:sz w:val="24"/>
          <w:szCs w:val="24"/>
        </w:rPr>
        <w:t xml:space="preserve">Teacher reference: where the packet answers each question</w:t>
      </w:r>
    </w:p>
    <w:p>
      <w:pPr>
        <w:keepNext/>
        <w:keepLines/>
        <w:spacing w:after="100" w:line="264"/>
      </w:pPr>
      <w:r>
        <w:rPr>
          <w:sz w:val="22"/>
          <w:szCs w:val="22"/>
        </w:rPr>
        <w:t xml:space="preserve">Use this table to check Milestone 1 and the accuracy row of the rubric. Teams may answer any five questions; a team that chooses a question marked "in part" should say plainly what the packet does not settle.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26"/>
        <w:gridCol w:w="3146"/>
        <w:gridCol w:w="5308"/>
      </w:tblGrid>
      <w:tr>
        <w:trPr>
          <w:cantSplit/>
          <w:tblHeader/>
        </w:trPr>
        <w:tc>
          <w:tcPr>
            <w:tcW w:type="dxa" w:w="162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Question</w:t>
            </w:r>
          </w:p>
        </w:tc>
        <w:tc>
          <w:tcPr>
            <w:tcW w:type="dxa" w:w="314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Where the answer is</w:t>
            </w:r>
          </w:p>
        </w:tc>
        <w:tc>
          <w:tcPr>
            <w:tcW w:type="dxa" w:w="530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an accurate answer includes</w:t>
            </w:r>
          </w:p>
        </w:tc>
      </w:tr>
      <w:tr>
        <w:trPr>
          <w:cantSplit/>
        </w:trPr>
        <w:tc>
          <w:tcPr>
            <w:tcW w:type="dxa" w:w="1626"/>
            <w:tcMar>
              <w:top w:type="dxa" w:w="70"/>
              <w:left w:type="dxa" w:w="100"/>
              <w:bottom w:type="dxa" w:w="70"/>
              <w:right w:type="dxa" w:w="100"/>
            </w:tcMar>
            <w:vAlign w:val="top"/>
          </w:tcPr>
          <w:p>
            <w:pPr>
              <w:spacing w:after="0" w:line="252"/>
              <w:jc w:val="left"/>
            </w:pPr>
            <w:r>
              <w:rPr>
                <w:sz w:val="22"/>
                <w:szCs w:val="22"/>
              </w:rPr>
              <w:t xml:space="preserve">Q1, lead and baby formula</w:t>
            </w:r>
          </w:p>
        </w:tc>
        <w:tc>
          <w:tcPr>
            <w:tcW w:type="dxa" w:w="3146"/>
            <w:tcMar>
              <w:top w:type="dxa" w:w="70"/>
              <w:left w:type="dxa" w:w="100"/>
              <w:bottom w:type="dxa" w:w="70"/>
              <w:right w:type="dxa" w:w="100"/>
            </w:tcMar>
            <w:vAlign w:val="top"/>
          </w:tcPr>
          <w:p>
            <w:pPr>
              <w:spacing w:after="0" w:line="252"/>
              <w:jc w:val="left"/>
            </w:pPr>
            <w:r>
              <w:rPr>
                <w:sz w:val="22"/>
                <w:szCs w:val="22"/>
              </w:rPr>
              <w:t xml:space="preserve">Document 1, lead table row and lead notes</w:t>
            </w:r>
          </w:p>
        </w:tc>
        <w:tc>
          <w:tcPr>
            <w:tcW w:type="dxa" w:w="5308"/>
            <w:tcMar>
              <w:top w:type="dxa" w:w="70"/>
              <w:left w:type="dxa" w:w="100"/>
              <w:bottom w:type="dxa" w:w="70"/>
              <w:right w:type="dxa" w:w="100"/>
            </w:tcMar>
            <w:vAlign w:val="top"/>
          </w:tcPr>
          <w:p>
            <w:pPr>
              <w:spacing w:after="0" w:line="252"/>
              <w:jc w:val="left"/>
            </w:pPr>
            <w:r>
              <w:rPr>
                <w:sz w:val="22"/>
                <w:szCs w:val="22"/>
              </w:rPr>
              <w:t xml:space="preserve">In part. The town's 90th percentile (11 ppb) is below the current action level, yet 2 of 30 tested homes were above 15 ppb, the health goal is zero, and the result for one home depends on its own pipes. The answer should give the cold-water advice and the free test kit, and should neither promise safety nor claim danger.</w:t>
            </w:r>
          </w:p>
        </w:tc>
      </w:tr>
      <w:tr>
        <w:trPr>
          <w:cantSplit/>
        </w:trPr>
        <w:tc>
          <w:tcPr>
            <w:tcW w:type="dxa" w:w="1626"/>
            <w:tcMar>
              <w:top w:type="dxa" w:w="70"/>
              <w:left w:type="dxa" w:w="100"/>
              <w:bottom w:type="dxa" w:w="70"/>
              <w:right w:type="dxa" w:w="100"/>
            </w:tcMar>
            <w:vAlign w:val="top"/>
          </w:tcPr>
          <w:p>
            <w:pPr>
              <w:spacing w:after="0" w:line="252"/>
              <w:jc w:val="left"/>
            </w:pPr>
            <w:r>
              <w:rPr>
                <w:sz w:val="22"/>
                <w:szCs w:val="22"/>
              </w:rPr>
              <w:t xml:space="preserve">Q2, finding and paying for a lead line</w:t>
            </w:r>
          </w:p>
        </w:tc>
        <w:tc>
          <w:tcPr>
            <w:tcW w:type="dxa" w:w="3146"/>
            <w:tcMar>
              <w:top w:type="dxa" w:w="70"/>
              <w:left w:type="dxa" w:w="100"/>
              <w:bottom w:type="dxa" w:w="70"/>
              <w:right w:type="dxa" w:w="100"/>
            </w:tcMar>
            <w:vAlign w:val="top"/>
          </w:tcPr>
          <w:p>
            <w:pPr>
              <w:spacing w:after="0" w:line="252"/>
              <w:jc w:val="left"/>
            </w:pPr>
            <w:r>
              <w:rPr>
                <w:sz w:val="22"/>
                <w:szCs w:val="22"/>
              </w:rPr>
              <w:t xml:space="preserve">Document 1, inventory note; Document 2, second note</w:t>
            </w:r>
          </w:p>
        </w:tc>
        <w:tc>
          <w:tcPr>
            <w:tcW w:type="dxa" w:w="5308"/>
            <w:tcMar>
              <w:top w:type="dxa" w:w="70"/>
              <w:left w:type="dxa" w:w="100"/>
              <w:bottom w:type="dxa" w:w="70"/>
              <w:right w:type="dxa" w:w="100"/>
            </w:tcMar>
            <w:vAlign w:val="top"/>
          </w:tcPr>
          <w:p>
            <w:pPr>
              <w:spacing w:after="0" w:line="252"/>
              <w:jc w:val="left"/>
            </w:pPr>
            <w:r>
              <w:rPr>
                <w:sz w:val="22"/>
                <w:szCs w:val="22"/>
              </w:rPr>
              <w:t xml:space="preserve">Look up the address or call customer service; the utility replaces the whole line, including the private side, at no direct charge to the owner. A 1948 house could be on the unknown-material list.</w:t>
            </w:r>
          </w:p>
        </w:tc>
      </w:tr>
      <w:tr>
        <w:trPr>
          <w:cantSplit/>
        </w:trPr>
        <w:tc>
          <w:tcPr>
            <w:tcW w:type="dxa" w:w="1626"/>
            <w:tcMar>
              <w:top w:type="dxa" w:w="70"/>
              <w:left w:type="dxa" w:w="100"/>
              <w:bottom w:type="dxa" w:w="70"/>
              <w:right w:type="dxa" w:w="100"/>
            </w:tcMar>
            <w:vAlign w:val="top"/>
          </w:tcPr>
          <w:p>
            <w:pPr>
              <w:spacing w:after="0" w:line="252"/>
              <w:jc w:val="left"/>
            </w:pPr>
            <w:r>
              <w:rPr>
                <w:sz w:val="22"/>
                <w:szCs w:val="22"/>
              </w:rPr>
              <w:t xml:space="preserve">Q3, PFAS</w:t>
            </w:r>
          </w:p>
        </w:tc>
        <w:tc>
          <w:tcPr>
            <w:tcW w:type="dxa" w:w="3146"/>
            <w:tcMar>
              <w:top w:type="dxa" w:w="70"/>
              <w:left w:type="dxa" w:w="100"/>
              <w:bottom w:type="dxa" w:w="70"/>
              <w:right w:type="dxa" w:w="100"/>
            </w:tcMar>
            <w:vAlign w:val="top"/>
          </w:tcPr>
          <w:p>
            <w:pPr>
              <w:spacing w:after="0" w:line="252"/>
              <w:jc w:val="left"/>
            </w:pPr>
            <w:r>
              <w:rPr>
                <w:sz w:val="22"/>
                <w:szCs w:val="22"/>
              </w:rPr>
              <w:t xml:space="preserve">Document 1, PFAS rows and note; Document 2, Well 3 row and note</w:t>
            </w:r>
          </w:p>
        </w:tc>
        <w:tc>
          <w:tcPr>
            <w:tcW w:type="dxa" w:w="5308"/>
            <w:tcMar>
              <w:top w:type="dxa" w:w="70"/>
              <w:left w:type="dxa" w:w="100"/>
              <w:bottom w:type="dxa" w:w="70"/>
              <w:right w:type="dxa" w:w="100"/>
            </w:tcMar>
            <w:vAlign w:val="top"/>
          </w:tcPr>
          <w:p>
            <w:pPr>
              <w:spacing w:after="0" w:line="252"/>
              <w:jc w:val="left"/>
            </w:pPr>
            <w:r>
              <w:rPr>
                <w:sz w:val="22"/>
                <w:szCs w:val="22"/>
              </w:rPr>
              <w:t xml:space="preserve">PFAS are long-lasting manufactured chemicals. Well 3 averaged 5.2 ppt PFOA, above the 4.0 ppt limit that applies from April 2029; it supplies part of the water north of Route 9, so the resident may receive some. PFOS (2.6 ppt) was below the limit. Until treatment is built, the utility is drawing less water from Well 3; treatment is planned for 2028 and could slip into 2029.</w:t>
            </w:r>
          </w:p>
        </w:tc>
      </w:tr>
      <w:tr>
        <w:trPr>
          <w:cantSplit/>
        </w:trPr>
        <w:tc>
          <w:tcPr>
            <w:tcW w:type="dxa" w:w="1626"/>
            <w:tcMar>
              <w:top w:type="dxa" w:w="70"/>
              <w:left w:type="dxa" w:w="100"/>
              <w:bottom w:type="dxa" w:w="70"/>
              <w:right w:type="dxa" w:w="100"/>
            </w:tcMar>
            <w:vAlign w:val="top"/>
          </w:tcPr>
          <w:p>
            <w:pPr>
              <w:spacing w:after="0" w:line="252"/>
              <w:jc w:val="left"/>
            </w:pPr>
            <w:r>
              <w:rPr>
                <w:sz w:val="22"/>
                <w:szCs w:val="22"/>
              </w:rPr>
              <w:t xml:space="preserve">Q4, the bill and why</w:t>
            </w:r>
          </w:p>
        </w:tc>
        <w:tc>
          <w:tcPr>
            <w:tcW w:type="dxa" w:w="3146"/>
            <w:tcMar>
              <w:top w:type="dxa" w:w="70"/>
              <w:left w:type="dxa" w:w="100"/>
              <w:bottom w:type="dxa" w:w="70"/>
              <w:right w:type="dxa" w:w="100"/>
            </w:tcMar>
            <w:vAlign w:val="top"/>
          </w:tcPr>
          <w:p>
            <w:pPr>
              <w:spacing w:after="0" w:line="252"/>
              <w:jc w:val="left"/>
            </w:pPr>
            <w:r>
              <w:rPr>
                <w:sz w:val="22"/>
                <w:szCs w:val="22"/>
              </w:rPr>
              <w:t xml:space="preserve">Document 3, bill table and reasons; Document 2, totals and funding</w:t>
            </w:r>
          </w:p>
        </w:tc>
        <w:tc>
          <w:tcPr>
            <w:tcW w:type="dxa" w:w="5308"/>
            <w:tcMar>
              <w:top w:type="dxa" w:w="70"/>
              <w:left w:type="dxa" w:w="100"/>
              <w:bottom w:type="dxa" w:w="70"/>
              <w:right w:type="dxa" w:w="100"/>
            </w:tcMar>
            <w:vAlign w:val="top"/>
          </w:tcPr>
          <w:p>
            <w:pPr>
              <w:spacing w:after="0" w:line="252"/>
              <w:jc w:val="left"/>
            </w:pPr>
            <w:r>
              <w:rPr>
                <w:sz w:val="22"/>
                <w:szCs w:val="22"/>
              </w:rPr>
              <w:t xml:space="preserve">A typical bill rises from $48.60 to $53.00, or $4.40 a month. Meeting today's standards does not pay for aging mains, lead lines, or the coming PFAS limit, and about 62 percent of the added money goes to the capital plan.</w:t>
            </w:r>
          </w:p>
        </w:tc>
      </w:tr>
      <w:tr>
        <w:trPr>
          <w:cantSplit/>
        </w:trPr>
        <w:tc>
          <w:tcPr>
            <w:tcW w:type="dxa" w:w="1626"/>
            <w:tcMar>
              <w:top w:type="dxa" w:w="70"/>
              <w:left w:type="dxa" w:w="100"/>
              <w:bottom w:type="dxa" w:w="70"/>
              <w:right w:type="dxa" w:w="100"/>
            </w:tcMar>
            <w:vAlign w:val="top"/>
          </w:tcPr>
          <w:p>
            <w:pPr>
              <w:spacing w:after="0" w:line="252"/>
              <w:jc w:val="left"/>
            </w:pPr>
            <w:r>
              <w:rPr>
                <w:sz w:val="22"/>
                <w:szCs w:val="22"/>
              </w:rPr>
              <w:t xml:space="preserve">Q5, Mill Street</w:t>
            </w:r>
          </w:p>
        </w:tc>
        <w:tc>
          <w:tcPr>
            <w:tcW w:type="dxa" w:w="3146"/>
            <w:tcMar>
              <w:top w:type="dxa" w:w="70"/>
              <w:left w:type="dxa" w:w="100"/>
              <w:bottom w:type="dxa" w:w="70"/>
              <w:right w:type="dxa" w:w="100"/>
            </w:tcMar>
            <w:vAlign w:val="top"/>
          </w:tcPr>
          <w:p>
            <w:pPr>
              <w:spacing w:after="0" w:line="252"/>
              <w:jc w:val="left"/>
            </w:pPr>
            <w:r>
              <w:rPr>
                <w:sz w:val="22"/>
                <w:szCs w:val="22"/>
              </w:rPr>
              <w:t xml:space="preserve">Document 2, system data and first note</w:t>
            </w:r>
          </w:p>
        </w:tc>
        <w:tc>
          <w:tcPr>
            <w:tcW w:type="dxa" w:w="5308"/>
            <w:tcMar>
              <w:top w:type="dxa" w:w="70"/>
              <w:left w:type="dxa" w:w="100"/>
              <w:bottom w:type="dxa" w:w="70"/>
              <w:right w:type="dxa" w:w="100"/>
            </w:tcMar>
            <w:vAlign w:val="top"/>
          </w:tcPr>
          <w:p>
            <w:pPr>
              <w:spacing w:after="0" w:line="252"/>
              <w:jc w:val="left"/>
            </w:pPr>
            <w:r>
              <w:rPr>
                <w:sz w:val="22"/>
                <w:szCs w:val="22"/>
              </w:rPr>
              <w:t xml:space="preserve">In part. Breaks are rising (41 in 2021 to 58 in 2025), and 13.0 miles of main are scheduled, yet the packet does not name streets; the list is published each January.</w:t>
            </w:r>
          </w:p>
        </w:tc>
      </w:tr>
      <w:tr>
        <w:trPr>
          <w:cantSplit/>
        </w:trPr>
        <w:tc>
          <w:tcPr>
            <w:tcW w:type="dxa" w:w="1626"/>
            <w:tcMar>
              <w:top w:type="dxa" w:w="70"/>
              <w:left w:type="dxa" w:w="100"/>
              <w:bottom w:type="dxa" w:w="70"/>
              <w:right w:type="dxa" w:w="100"/>
            </w:tcMar>
            <w:vAlign w:val="top"/>
          </w:tcPr>
          <w:p>
            <w:pPr>
              <w:spacing w:after="0" w:line="252"/>
              <w:jc w:val="left"/>
            </w:pPr>
            <w:r>
              <w:rPr>
                <w:sz w:val="22"/>
                <w:szCs w:val="22"/>
              </w:rPr>
              <w:t xml:space="preserve">Q6, chlorine smell</w:t>
            </w:r>
          </w:p>
        </w:tc>
        <w:tc>
          <w:tcPr>
            <w:tcW w:type="dxa" w:w="3146"/>
            <w:tcMar>
              <w:top w:type="dxa" w:w="70"/>
              <w:left w:type="dxa" w:w="100"/>
              <w:bottom w:type="dxa" w:w="70"/>
              <w:right w:type="dxa" w:w="100"/>
            </w:tcMar>
            <w:vAlign w:val="top"/>
          </w:tcPr>
          <w:p>
            <w:pPr>
              <w:spacing w:after="0" w:line="252"/>
              <w:jc w:val="left"/>
            </w:pPr>
            <w:r>
              <w:rPr>
                <w:sz w:val="22"/>
                <w:szCs w:val="22"/>
              </w:rPr>
              <w:t xml:space="preserve">Document 1, chlorine row and note</w:t>
            </w:r>
          </w:p>
        </w:tc>
        <w:tc>
          <w:tcPr>
            <w:tcW w:type="dxa" w:w="5308"/>
            <w:tcMar>
              <w:top w:type="dxa" w:w="70"/>
              <w:left w:type="dxa" w:w="100"/>
              <w:bottom w:type="dxa" w:w="70"/>
              <w:right w:type="dxa" w:w="100"/>
            </w:tcMar>
            <w:vAlign w:val="top"/>
          </w:tcPr>
          <w:p>
            <w:pPr>
              <w:spacing w:after="0" w:line="252"/>
              <w:jc w:val="left"/>
            </w:pPr>
            <w:r>
              <w:rPr>
                <w:sz w:val="22"/>
                <w:szCs w:val="22"/>
              </w:rPr>
              <w:t xml:space="preserve">Chlorine is added on purpose; the running average of 1.1 mg/L is well below the 4.0 mg/L limit, and the smell can be stronger in the morning or after a main break.</w:t>
            </w:r>
          </w:p>
        </w:tc>
      </w:tr>
      <w:tr>
        <w:trPr>
          <w:cantSplit/>
        </w:trPr>
        <w:tc>
          <w:tcPr>
            <w:tcW w:type="dxa" w:w="1626"/>
            <w:tcMar>
              <w:top w:type="dxa" w:w="70"/>
              <w:left w:type="dxa" w:w="100"/>
              <w:bottom w:type="dxa" w:w="70"/>
              <w:right w:type="dxa" w:w="100"/>
            </w:tcMar>
            <w:vAlign w:val="top"/>
          </w:tcPr>
          <w:p>
            <w:pPr>
              <w:spacing w:after="0" w:line="252"/>
              <w:jc w:val="left"/>
            </w:pPr>
            <w:r>
              <w:rPr>
                <w:sz w:val="22"/>
                <w:szCs w:val="22"/>
              </w:rPr>
              <w:t xml:space="preserve">Q7, rates in 2028</w:t>
            </w:r>
          </w:p>
        </w:tc>
        <w:tc>
          <w:tcPr>
            <w:tcW w:type="dxa" w:w="3146"/>
            <w:tcMar>
              <w:top w:type="dxa" w:w="70"/>
              <w:left w:type="dxa" w:w="100"/>
              <w:bottom w:type="dxa" w:w="70"/>
              <w:right w:type="dxa" w:w="100"/>
            </w:tcMar>
            <w:vAlign w:val="top"/>
          </w:tcPr>
          <w:p>
            <w:pPr>
              <w:spacing w:after="0" w:line="252"/>
              <w:jc w:val="left"/>
            </w:pPr>
            <w:r>
              <w:rPr>
                <w:sz w:val="22"/>
                <w:szCs w:val="22"/>
              </w:rPr>
              <w:t xml:space="preserve">Document 3, "What comes next"</w:t>
            </w:r>
          </w:p>
        </w:tc>
        <w:tc>
          <w:tcPr>
            <w:tcW w:type="dxa" w:w="5308"/>
            <w:tcMar>
              <w:top w:type="dxa" w:w="70"/>
              <w:left w:type="dxa" w:w="100"/>
              <w:bottom w:type="dxa" w:w="70"/>
              <w:right w:type="dxa" w:w="100"/>
            </w:tcMar>
            <w:vAlign w:val="top"/>
          </w:tcPr>
          <w:p>
            <w:pPr>
              <w:spacing w:after="0" w:line="252"/>
              <w:jc w:val="left"/>
            </w:pPr>
            <w:r>
              <w:rPr>
                <w:sz w:val="22"/>
                <w:szCs w:val="22"/>
              </w:rPr>
              <w:t xml:space="preserve">In part. Another increase may be considered after Well 3 bids are opened; nothing has been decided and the amount is unknown. This is a natural choice for the "cannot promise" requirement.</w:t>
            </w:r>
          </w:p>
        </w:tc>
      </w:tr>
      <w:tr>
        <w:trPr>
          <w:cantSplit/>
        </w:trPr>
        <w:tc>
          <w:tcPr>
            <w:tcW w:type="dxa" w:w="1626"/>
            <w:tcMar>
              <w:top w:type="dxa" w:w="70"/>
              <w:left w:type="dxa" w:w="100"/>
              <w:bottom w:type="dxa" w:w="70"/>
              <w:right w:type="dxa" w:w="100"/>
            </w:tcMar>
            <w:vAlign w:val="top"/>
          </w:tcPr>
          <w:p>
            <w:pPr>
              <w:spacing w:after="0" w:line="252"/>
              <w:jc w:val="left"/>
            </w:pPr>
            <w:r>
              <w:rPr>
                <w:sz w:val="22"/>
                <w:szCs w:val="22"/>
              </w:rPr>
              <w:t xml:space="preserve">Q8, bottled water</w:t>
            </w:r>
          </w:p>
        </w:tc>
        <w:tc>
          <w:tcPr>
            <w:tcW w:type="dxa" w:w="3146"/>
            <w:tcMar>
              <w:top w:type="dxa" w:w="70"/>
              <w:left w:type="dxa" w:w="100"/>
              <w:bottom w:type="dxa" w:w="70"/>
              <w:right w:type="dxa" w:w="100"/>
            </w:tcMar>
            <w:vAlign w:val="top"/>
          </w:tcPr>
          <w:p>
            <w:pPr>
              <w:spacing w:after="0" w:line="252"/>
              <w:jc w:val="left"/>
            </w:pPr>
            <w:r>
              <w:rPr>
                <w:sz w:val="22"/>
                <w:szCs w:val="22"/>
              </w:rPr>
              <w:t xml:space="preserve">Not in the packet</w:t>
            </w:r>
          </w:p>
        </w:tc>
        <w:tc>
          <w:tcPr>
            <w:tcW w:type="dxa" w:w="5308"/>
            <w:tcMar>
              <w:top w:type="dxa" w:w="70"/>
              <w:left w:type="dxa" w:w="100"/>
              <w:bottom w:type="dxa" w:w="70"/>
              <w:right w:type="dxa" w:w="100"/>
            </w:tcMar>
            <w:vAlign w:val="top"/>
          </w:tcPr>
          <w:p>
            <w:pPr>
              <w:spacing w:after="0" w:line="252"/>
              <w:jc w:val="left"/>
            </w:pPr>
            <w:r>
              <w:rPr>
                <w:sz w:val="22"/>
                <w:szCs w:val="22"/>
              </w:rPr>
              <w:t xml:space="preserve">The packet does not address bottled water. A team choosing this question needs its outside source and should say so.</w:t>
            </w:r>
          </w:p>
        </w:tc>
      </w:tr>
      <w:tr>
        <w:trPr>
          <w:cantSplit/>
        </w:trPr>
        <w:tc>
          <w:tcPr>
            <w:tcW w:type="dxa" w:w="1626"/>
            <w:tcMar>
              <w:top w:type="dxa" w:w="70"/>
              <w:left w:type="dxa" w:w="100"/>
              <w:bottom w:type="dxa" w:w="70"/>
              <w:right w:type="dxa" w:w="100"/>
            </w:tcMar>
            <w:vAlign w:val="top"/>
          </w:tcPr>
          <w:p>
            <w:pPr>
              <w:spacing w:after="0" w:line="252"/>
              <w:jc w:val="left"/>
            </w:pPr>
            <w:r>
              <w:rPr>
                <w:sz w:val="22"/>
                <w:szCs w:val="22"/>
              </w:rPr>
              <w:t xml:space="preserve">Q9, help with the bill</w:t>
            </w:r>
          </w:p>
        </w:tc>
        <w:tc>
          <w:tcPr>
            <w:tcW w:type="dxa" w:w="3146"/>
            <w:tcMar>
              <w:top w:type="dxa" w:w="70"/>
              <w:left w:type="dxa" w:w="100"/>
              <w:bottom w:type="dxa" w:w="70"/>
              <w:right w:type="dxa" w:w="100"/>
            </w:tcMar>
            <w:vAlign w:val="top"/>
          </w:tcPr>
          <w:p>
            <w:pPr>
              <w:spacing w:after="0" w:line="252"/>
              <w:jc w:val="left"/>
            </w:pPr>
            <w:r>
              <w:rPr>
                <w:sz w:val="22"/>
                <w:szCs w:val="22"/>
              </w:rPr>
              <w:t xml:space="preserve">Document 3, "Help with your bill"</w:t>
            </w:r>
          </w:p>
        </w:tc>
        <w:tc>
          <w:tcPr>
            <w:tcW w:type="dxa" w:w="5308"/>
            <w:tcMar>
              <w:top w:type="dxa" w:w="70"/>
              <w:left w:type="dxa" w:w="100"/>
              <w:bottom w:type="dxa" w:w="70"/>
              <w:right w:type="dxa" w:w="100"/>
            </w:tcMar>
            <w:vAlign w:val="top"/>
          </w:tcPr>
          <w:p>
            <w:pPr>
              <w:spacing w:after="0" w:line="252"/>
              <w:jc w:val="left"/>
            </w:pPr>
            <w:r>
              <w:rPr>
                <w:sz w:val="22"/>
                <w:szCs w:val="22"/>
              </w:rPr>
              <w:t xml:space="preserve">Households that qualify for state home energy assistance can receive a 20 percent discount on the base charge by calling customer service.</w:t>
            </w:r>
          </w:p>
        </w:tc>
      </w:tr>
    </w:tbl>
    <w:p>
      <w:pPr>
        <w:spacing w:after="160" w:before="0"/>
      </w:pPr>
    </w:p>
    <w:p>
      <w:pPr>
        <w:spacing w:after="100" w:line="264"/>
      </w:pPr>
      <w:r>
        <w:rPr>
          <w:sz w:val="22"/>
          <w:szCs w:val="22"/>
        </w:rPr>
        <w:t xml:space="preserve">Two places where sources must be reconciled, for the Advanced column of the research row: the report says the 2025 lead result met the standard, while the outside rule lowers the action level to 10 ppb in 2027, which the 11 ppb result would exceed; and the report says the PFOA limit is "not yet required," while the Well 3 average is already above the number that will apply. A strong explainer states which rule governs now, which governs later, and what the utility has said it will do.</w:t>
      </w:r>
    </w:p>
    <w:p>
      <w:pPr>
        <w:spacing w:after="100" w:line="264"/>
      </w:pPr>
      <w:r>
        <w:rPr>
          <w:sz w:val="22"/>
          <w:szCs w:val="22"/>
        </w:rPr>
        <w:t xml:space="preserve">Charts teams can build from the packet include main breaks by year (Document 2), miles of main or lead lines replaced by year (Document 2), spending by project over five years (Document 2), and the current and proposed bill broken into base and use charges (Document 3). A Proficient chart uses the packet numbers correctly and supports a specific sentence in the explainer.</w:t>
      </w:r>
    </w:p>
    <w:sectPr>
      <w:footerReference w:type="default" r:id="rId9"/>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Havenbrook Water Explainer: A Research Writing Project</dc:title>
  <dc:subject>Project · Grade 10 · English Language Arts</dc:subject>
  <dc:creator>Water for Schools</dc:creator>
  <cp:keywords>Project, Grade 10, English Language Arts</cp:keywords>
  <dc:description>A five-session grade 10 project in which teams turn a four-document utility packet into a four-page plain-language explainer and present it to a library board.</dc:description>
  <cp:lastModifiedBy>Water for Schools</cp:lastModifiedBy>
  <cp:revision>1</cp:revision>
  <dcterms:created xsi:type="dcterms:W3CDTF">2026-10-19T16:28:54.664Z</dcterms:created>
  <dcterms:modified xsi:type="dcterms:W3CDTF">2026-10-19T16:28:54.664Z</dcterms:modified>
</cp:coreProperties>
</file>

<file path=docProps/custom.xml><?xml version="1.0" encoding="utf-8"?>
<Properties xmlns="http://schemas.openxmlformats.org/officeDocument/2006/custom-properties" xmlns:vt="http://schemas.openxmlformats.org/officeDocument/2006/docPropsVTypes"/>
</file>