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Warrant and Rebuttal Frame for the Corvenna Nitrate Rule</w:t>
      </w:r>
    </w:p>
    <w:p>
      <w:pPr>
        <w:keepNext/>
        <w:spacing w:after="160"/>
      </w:pPr>
      <w:r>
        <w:rPr>
          <w:color w:val="5B6B70"/>
          <w:sz w:val="20"/>
          <w:szCs w:val="20"/>
        </w:rPr>
        <w:t xml:space="preserve">Graphic organizer · Grade 11 · English Language Arts</w:t>
      </w:r>
    </w:p>
    <w:p>
      <w:pPr>
        <w:spacing w:after="100" w:line="264"/>
      </w:pPr>
      <w:r>
        <w:rPr>
          <w:i/>
          <w:iCs/>
          <w:color w:val="12333F"/>
          <w:sz w:val="22"/>
          <w:szCs w:val="22"/>
        </w:rPr>
        <w:t xml:space="preserve">A grade 11 Toulmin-style organizer that separates claim, grounds, warrant, backing, qualifier, and rebuttal in an argument about a county nitrate rule.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Completed exemplar</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state a warrant as a general principle rather than as a second piece of evidence.</w:t>
      </w:r>
    </w:p>
    <w:p>
      <w:pPr>
        <w:pStyle w:val="ListParagraph"/>
        <w:keepNext/>
        <w:keepLines/>
        <w:numPr>
          <w:ilvl w:val="0"/>
          <w:numId w:val="2"/>
        </w:numPr>
        <w:spacing w:after="60" w:line="264"/>
        <w:ind w:left="720" w:hanging="360"/>
      </w:pPr>
      <w:r>
        <w:rPr>
          <w:sz w:val="22"/>
          <w:szCs w:val="22"/>
        </w:rPr>
        <w:t xml:space="preserve">Students will qualify a claim using language that matches what the sources actually support.</w:t>
      </w:r>
    </w:p>
    <w:p>
      <w:pPr>
        <w:pStyle w:val="ListParagraph"/>
        <w:keepLines/>
        <w:numPr>
          <w:ilvl w:val="0"/>
          <w:numId w:val="2"/>
        </w:numPr>
        <w:spacing w:after="60" w:line="264"/>
        <w:ind w:left="720" w:hanging="360"/>
      </w:pPr>
      <w:r>
        <w:rPr>
          <w:sz w:val="22"/>
          <w:szCs w:val="22"/>
        </w:rPr>
        <w:t xml:space="preserve">Students will state the strongest rebuttal to their own claim and answer it with a named source.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W.11-12.1 (Common Core ELA)</w:t>
      </w:r>
      <w:r>
        <w:rPr>
          <w:sz w:val="22"/>
          <w:szCs w:val="22"/>
        </w:rPr>
        <w:t xml:space="preserve">: Write arguments to support claims in an analysis of substantive topics or texts, using valid reasoning and relevant and sufficient evidence.</w:t>
      </w:r>
    </w:p>
    <w:p>
      <w:pPr>
        <w:spacing w:after="100" w:line="264"/>
        <w:ind w:left="360"/>
      </w:pPr>
      <w:r>
        <w:rPr>
          <w:i/>
          <w:iCs/>
          <w:color w:val="5B6B70"/>
          <w:sz w:val="20"/>
          <w:szCs w:val="20"/>
        </w:rPr>
        <w:t xml:space="preserve">How this material addresses it: The frame gives the warrant, the qualifier, and the rebuttal their own labeled slots, so students must supply the reasoning that links evidence to claim and must limit the claim rather than assert it flatly.</w:t>
      </w:r>
    </w:p>
    <w:p>
      <w:pPr>
        <w:keepNext/>
        <w:spacing w:after="40" w:line="264"/>
      </w:pPr>
      <w:r>
        <w:rPr>
          <w:b/>
          <w:bCs/>
          <w:sz w:val="22"/>
          <w:szCs w:val="22"/>
        </w:rPr>
        <w:t xml:space="preserve">RST.11-12.7 (Common Core ELA)</w:t>
      </w:r>
      <w:r>
        <w:rPr>
          <w:sz w:val="22"/>
          <w:szCs w:val="22"/>
        </w:rPr>
        <w:t xml:space="preserve">: Integrate and evaluate multiple sources of information presented in diverse formats and media (e.g., quantitative data, video, multimedia) in order to address a question or solve a problem.</w:t>
      </w:r>
    </w:p>
    <w:p>
      <w:pPr>
        <w:spacing w:after="100" w:line="264"/>
        <w:ind w:left="360"/>
      </w:pPr>
      <w:r>
        <w:rPr>
          <w:i/>
          <w:iCs/>
          <w:color w:val="5B6B70"/>
          <w:sz w:val="20"/>
          <w:szCs w:val="20"/>
        </w:rPr>
        <w:t xml:space="preserve">How this material addresses it: The Grounds and Rebuttal rows require students to draw on the well-sample table and on the two prose memos in the same argument, which is the integration of quantitative data with text this standard names.</w:t>
      </w:r>
    </w:p>
    <w:p>
      <w:pPr>
        <w:pStyle w:val="Heading2"/>
        <w:keepNext/>
        <w:keepLines/>
      </w:pPr>
      <w:r>
        <w:rPr>
          <w:sz w:val="28"/>
          <w:szCs w:val="28"/>
        </w:rPr>
        <w:t xml:space="preserve">Vocabulary</w:t>
      </w:r>
    </w:p>
    <w:p>
      <w:pPr>
        <w:keepNext/>
        <w:spacing w:after="80" w:line="264"/>
      </w:pPr>
      <w:r>
        <w:rPr>
          <w:b/>
          <w:bCs/>
          <w:sz w:val="22"/>
          <w:szCs w:val="22"/>
        </w:rPr>
        <w:t xml:space="preserve">Nitrate</w:t>
      </w:r>
      <w:r>
        <w:rPr>
          <w:sz w:val="22"/>
          <w:szCs w:val="22"/>
        </w:rPr>
        <w:t xml:space="preserve">: Nitrate is a form of nitrogen that plants use as food. It gets into water from fertilizer, animal waste, and septic systems, and too much of it is unhealthy for both people and streams.</w:t>
      </w:r>
    </w:p>
    <w:p>
      <w:pPr>
        <w:spacing w:after="100" w:line="264"/>
      </w:pPr>
      <w:r>
        <w:rPr>
          <w:b/>
          <w:bCs/>
          <w:sz w:val="22"/>
          <w:szCs w:val="22"/>
        </w:rPr>
        <w:t xml:space="preserve">Also: </w:t>
      </w:r>
      <w:r>
        <w:rPr>
          <w:sz w:val="22"/>
          <w:szCs w:val="22"/>
        </w:rPr>
        <w:t xml:space="preserve">claim, grounds, warrant, backing, qualifier, rebuttal</w:t>
      </w:r>
    </w:p>
    <w:p>
      <w:pPr>
        <w:pStyle w:val="Heading2"/>
        <w:keepNext/>
        <w:keepLines/>
      </w:pPr>
      <w:r>
        <w:rPr>
          <w:sz w:val="28"/>
          <w:szCs w:val="28"/>
        </w:rPr>
        <w:t xml:space="preserve">Teacher overview</w:t>
      </w:r>
    </w:p>
    <w:p>
      <w:pPr>
        <w:spacing w:after="100" w:line="264"/>
      </w:pPr>
      <w:r>
        <w:rPr>
          <w:sz w:val="22"/>
          <w:szCs w:val="22"/>
        </w:rPr>
        <w:t xml:space="preserve">This organizer is a six-slot argument frame built on Toulmin's terms, arranged as a vertical stack so that each row depends on the one above it. Students write one argument about whether a proposed county rule should exempt small farms, and the frame forces them to state the warrant, which is the general principle that lets a particular piece of evidence support the claim. The habit worth naming before students begin is that the warrant slot is often filled with a second quotation, since argument is easily mistaken for the accumulation of evidence. A warrant is not evidence; it is the assumption a reader must accept for the evidence to matter. The water content carries its own widely held error that is worth correcting while students read the notes: people often assume that boiling water makes nitrate safe to drink, when boiling removes water as steam and leaves the nitrate behind in a smaller volume, so the concentration goes up rather than down.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Claim row and the Grounds row already filled, so the writing load falls on the warrant. Provide three candidate warrant sentences, one of them a disguised piece of evidence, and ask students to choose the real warrant and say how they can tell. Allow the Rebuttal row to be completed as two short sentences rather than one connected passage.</w:t>
      </w:r>
    </w:p>
    <w:p>
      <w:pPr>
        <w:pStyle w:val="Heading3"/>
        <w:keepNext/>
        <w:keepLines/>
      </w:pPr>
      <w:r>
        <w:rPr>
          <w:sz w:val="24"/>
          <w:szCs w:val="24"/>
        </w:rPr>
        <w:t xml:space="preserve">Extension</w:t>
      </w:r>
    </w:p>
    <w:p>
      <w:pPr>
        <w:spacing w:after="100" w:line="264"/>
      </w:pPr>
      <w:r>
        <w:rPr>
          <w:sz w:val="22"/>
          <w:szCs w:val="22"/>
        </w:rPr>
        <w:t xml:space="preserve">Ask these students to write the same frame from the growers' association side, keeping the same notes, and then to write a paragraph comparing the two warrants. The comparison should name which warrant a county commissioner would find harder to reject and why, which is a question about audience rather than about evidence.</w:t>
      </w:r>
    </w:p>
    <w:p>
      <w:pPr>
        <w:pStyle w:val="Heading3"/>
        <w:keepNext/>
        <w:keepLines/>
      </w:pPr>
      <w:r>
        <w:rPr>
          <w:sz w:val="24"/>
          <w:szCs w:val="24"/>
        </w:rPr>
        <w:t xml:space="preserve">ELL supports</w:t>
      </w:r>
    </w:p>
    <w:p>
      <w:pPr>
        <w:spacing w:after="100" w:line="264"/>
      </w:pPr>
      <w:r>
        <w:rPr>
          <w:sz w:val="22"/>
          <w:szCs w:val="22"/>
        </w:rPr>
        <w:t xml:space="preserve">Pre-teach "warrant," "qualifier," and "rebuttal" with a non-water example built on a school rule, so the terms are learned before the content is added. Provide sentence openers for each slot, such as "The county should," "The record shows," "Any rule that," "This is true because," "This applies where," and "A grower would answer that." Allow the Grounds row to be written as a short list with note numbers instead of a full sentence.</w:t>
      </w:r>
    </w:p>
    <w:p>
      <w:pPr>
        <w:pStyle w:val="Heading2"/>
        <w:keepNext/>
        <w:keepLines/>
      </w:pPr>
      <w:r>
        <w:rPr>
          <w:sz w:val="28"/>
          <w:szCs w:val="28"/>
        </w:rPr>
        <w:t xml:space="preserve">Extensions</w:t>
      </w:r>
    </w:p>
    <w:p>
      <w:pPr>
        <w:spacing w:after="100" w:line="264"/>
      </w:pPr>
      <w:r>
        <w:rPr>
          <w:sz w:val="22"/>
          <w:szCs w:val="22"/>
        </w:rPr>
        <w:t xml:space="preserve">Have students rewrite the Qualifier row three times, once for a school newspaper, once for a letter to the county commission, and once for a text message to a friend who farms in the valley. Then ask them to explain in two sentences which version they would defend in front of all three audiences at once, which is the practical test of a qualifier that is honest rather than merely cautious.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Warrant and Rebuttal Frame for the Corvenna Nitrate Rule</w:t>
      </w:r>
    </w:p>
    <w:p>
      <w:pPr>
        <w:keepNext/>
        <w:spacing w:after="160"/>
      </w:pPr>
      <w:r>
        <w:rPr>
          <w:color w:val="5B6B70"/>
          <w:sz w:val="20"/>
          <w:szCs w:val="20"/>
        </w:rPr>
        <w:t xml:space="preserve">Grade 11 · English Language Arts</w:t>
      </w:r>
    </w:p>
    <w:p>
      <w:pPr>
        <w:pStyle w:val="Heading2"/>
        <w:keepNext/>
        <w:keepLines/>
      </w:pPr>
      <w:r>
        <w:rPr>
          <w:sz w:val="28"/>
          <w:szCs w:val="28"/>
        </w:rPr>
        <w:t xml:space="preserve">Organizer</w:t>
      </w:r>
    </w:p>
    <w:p>
      <w:pPr>
        <w:spacing w:after="120" w:line="276"/>
      </w:pPr>
      <w:r>
        <w:rPr>
          <w:b/>
          <w:bCs/>
          <w:sz w:val="22"/>
          <w:szCs w:val="22"/>
        </w:rPr>
        <w:t xml:space="preserve">The question.</w:t>
      </w:r>
      <w:r>
        <w:rPr>
          <w:sz w:val="22"/>
          <w:szCs w:val="22"/>
        </w:rPr>
        <w:t xml:space="preserve"> Should the draft Corvenna Valley rule exempt farms smaller than forty acres from filing a nutrient plan?</w:t>
      </w:r>
    </w:p>
    <w:p>
      <w:pPr>
        <w:keepNext/>
        <w:keepLines/>
        <w:spacing w:after="120" w:line="276"/>
      </w:pPr>
      <w:r>
        <w:rPr>
          <w:b/>
          <w:bCs/>
          <w:sz w:val="22"/>
          <w:szCs w:val="22"/>
        </w:rPr>
        <w:t xml:space="preserve">Source notes.</w:t>
      </w:r>
      <w:r>
        <w:rPr>
          <w:sz w:val="22"/>
          <w:szCs w:val="22"/>
        </w:rPr>
        <w:t xml:space="preserve"> Corvenna, its valley, and every figure below are fictional and were written for this organizer. Nitrate is a plant nutrient that moves easily with water through sandy soil.</w:t>
      </w:r>
    </w:p>
    <w:p>
      <w:pPr>
        <w:pStyle w:val="ListParagraph"/>
        <w:keepNext/>
        <w:keepLines/>
        <w:numPr>
          <w:ilvl w:val="0"/>
          <w:numId w:val="3"/>
        </w:numPr>
        <w:spacing w:after="60" w:line="276"/>
        <w:ind w:left="720" w:hanging="360"/>
      </w:pPr>
      <w:r>
        <w:rPr>
          <w:b/>
          <w:bCs/>
          <w:sz w:val="22"/>
          <w:szCs w:val="22"/>
        </w:rPr>
        <w:t xml:space="preserve">Note 1.</w:t>
      </w:r>
      <w:r>
        <w:rPr>
          <w:sz w:val="22"/>
          <w:szCs w:val="22"/>
        </w:rPr>
        <w:t xml:space="preserve"> The town of Corvenna draws its drinking water from five shallow wells. All five sit under cropland.</w:t>
      </w:r>
    </w:p>
    <w:p>
      <w:pPr>
        <w:pStyle w:val="ListParagraph"/>
        <w:keepLines/>
        <w:numPr>
          <w:ilvl w:val="0"/>
          <w:numId w:val="3"/>
        </w:numPr>
        <w:spacing w:after="60" w:line="276"/>
        <w:ind w:left="720" w:hanging="360"/>
      </w:pPr>
      <w:r>
        <w:rPr>
          <w:b/>
          <w:bCs/>
          <w:sz w:val="22"/>
          <w:szCs w:val="22"/>
        </w:rPr>
        <w:t xml:space="preserve">Note 2.</w:t>
      </w:r>
      <w:r>
        <w:rPr>
          <w:sz w:val="22"/>
          <w:szCs w:val="22"/>
        </w:rPr>
        <w:t xml:space="preserve"> Selected readings from the spring sampling record for Well 3, which covers twelve years.</w:t>
      </w:r>
    </w:p>
    <w:p>
      <w:pPr>
        <w:spacing w:after="40" w:before="0" w:line="120" w:lineRule="exact"/>
      </w:pP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519"/>
        <w:gridCol w:w="6561"/>
      </w:tblGrid>
      <w:tr>
        <w:trPr>
          <w:cantSplit/>
          <w:tblHeader/>
        </w:trPr>
        <w:tc>
          <w:tcPr>
            <w:tcW w:type="dxa" w:w="351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Year</w:t>
            </w:r>
          </w:p>
        </w:tc>
        <w:tc>
          <w:tcPr>
            <w:tcW w:type="dxa" w:w="656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Nitrate in Well 3</w:t>
            </w:r>
          </w:p>
        </w:tc>
      </w:tr>
      <w:tr>
        <w:trPr>
          <w:cantSplit/>
        </w:trPr>
        <w:tc>
          <w:tcPr>
            <w:tcW w:type="dxa" w:w="3519"/>
            <w:tcMar>
              <w:top w:type="dxa" w:w="70"/>
              <w:left w:type="dxa" w:w="100"/>
              <w:bottom w:type="dxa" w:w="70"/>
              <w:right w:type="dxa" w:w="100"/>
            </w:tcMar>
            <w:vAlign w:val="top"/>
          </w:tcPr>
          <w:p>
            <w:pPr>
              <w:keepNext/>
              <w:spacing w:after="0" w:line="252"/>
              <w:jc w:val="left"/>
            </w:pPr>
            <w:r>
              <w:rPr>
                <w:sz w:val="22"/>
                <w:szCs w:val="22"/>
              </w:rPr>
              <w:t xml:space="preserve">Year 1</w:t>
            </w:r>
          </w:p>
        </w:tc>
        <w:tc>
          <w:tcPr>
            <w:tcW w:type="dxa" w:w="6561"/>
            <w:tcMar>
              <w:top w:type="dxa" w:w="70"/>
              <w:left w:type="dxa" w:w="100"/>
              <w:bottom w:type="dxa" w:w="70"/>
              <w:right w:type="dxa" w:w="100"/>
            </w:tcMar>
            <w:vAlign w:val="top"/>
          </w:tcPr>
          <w:p>
            <w:pPr>
              <w:keepNext/>
              <w:spacing w:after="0" w:line="252"/>
              <w:jc w:val="left"/>
            </w:pPr>
            <w:r>
              <w:rPr>
                <w:sz w:val="22"/>
                <w:szCs w:val="22"/>
              </w:rPr>
              <w:t xml:space="preserve">4.1 mg/L</w:t>
            </w:r>
          </w:p>
        </w:tc>
      </w:tr>
      <w:tr>
        <w:trPr>
          <w:cantSplit/>
        </w:trPr>
        <w:tc>
          <w:tcPr>
            <w:tcW w:type="dxa" w:w="3519"/>
            <w:tcMar>
              <w:top w:type="dxa" w:w="70"/>
              <w:left w:type="dxa" w:w="100"/>
              <w:bottom w:type="dxa" w:w="70"/>
              <w:right w:type="dxa" w:w="100"/>
            </w:tcMar>
            <w:vAlign w:val="top"/>
          </w:tcPr>
          <w:p>
            <w:pPr>
              <w:keepNext/>
              <w:spacing w:after="0" w:line="252"/>
              <w:jc w:val="left"/>
            </w:pPr>
            <w:r>
              <w:rPr>
                <w:sz w:val="22"/>
                <w:szCs w:val="22"/>
              </w:rPr>
              <w:t xml:space="preserve">Year 5</w:t>
            </w:r>
          </w:p>
        </w:tc>
        <w:tc>
          <w:tcPr>
            <w:tcW w:type="dxa" w:w="6561"/>
            <w:tcMar>
              <w:top w:type="dxa" w:w="70"/>
              <w:left w:type="dxa" w:w="100"/>
              <w:bottom w:type="dxa" w:w="70"/>
              <w:right w:type="dxa" w:w="100"/>
            </w:tcMar>
            <w:vAlign w:val="top"/>
          </w:tcPr>
          <w:p>
            <w:pPr>
              <w:keepNext/>
              <w:spacing w:after="0" w:line="252"/>
              <w:jc w:val="left"/>
            </w:pPr>
            <w:r>
              <w:rPr>
                <w:sz w:val="22"/>
                <w:szCs w:val="22"/>
              </w:rPr>
              <w:t xml:space="preserve">5.8 mg/L</w:t>
            </w:r>
          </w:p>
        </w:tc>
      </w:tr>
      <w:tr>
        <w:trPr>
          <w:cantSplit/>
        </w:trPr>
        <w:tc>
          <w:tcPr>
            <w:tcW w:type="dxa" w:w="3519"/>
            <w:tcMar>
              <w:top w:type="dxa" w:w="70"/>
              <w:left w:type="dxa" w:w="100"/>
              <w:bottom w:type="dxa" w:w="70"/>
              <w:right w:type="dxa" w:w="100"/>
            </w:tcMar>
            <w:vAlign w:val="top"/>
          </w:tcPr>
          <w:p>
            <w:pPr>
              <w:keepNext/>
              <w:spacing w:after="0" w:line="252"/>
              <w:jc w:val="left"/>
            </w:pPr>
            <w:r>
              <w:rPr>
                <w:sz w:val="22"/>
                <w:szCs w:val="22"/>
              </w:rPr>
              <w:t xml:space="preserve">Year 9</w:t>
            </w:r>
          </w:p>
        </w:tc>
        <w:tc>
          <w:tcPr>
            <w:tcW w:type="dxa" w:w="6561"/>
            <w:tcMar>
              <w:top w:type="dxa" w:w="70"/>
              <w:left w:type="dxa" w:w="100"/>
              <w:bottom w:type="dxa" w:w="70"/>
              <w:right w:type="dxa" w:w="100"/>
            </w:tcMar>
            <w:vAlign w:val="top"/>
          </w:tcPr>
          <w:p>
            <w:pPr>
              <w:keepNext/>
              <w:spacing w:after="0" w:line="252"/>
              <w:jc w:val="left"/>
            </w:pPr>
            <w:r>
              <w:rPr>
                <w:sz w:val="22"/>
                <w:szCs w:val="22"/>
              </w:rPr>
              <w:t xml:space="preserve">7.6 mg/L</w:t>
            </w:r>
          </w:p>
        </w:tc>
      </w:tr>
      <w:tr>
        <w:trPr>
          <w:cantSplit/>
        </w:trPr>
        <w:tc>
          <w:tcPr>
            <w:tcW w:type="dxa" w:w="3519"/>
            <w:tcMar>
              <w:top w:type="dxa" w:w="70"/>
              <w:left w:type="dxa" w:w="100"/>
              <w:bottom w:type="dxa" w:w="70"/>
              <w:right w:type="dxa" w:w="100"/>
            </w:tcMar>
            <w:vAlign w:val="top"/>
          </w:tcPr>
          <w:p>
            <w:pPr>
              <w:spacing w:after="0" w:line="252"/>
              <w:jc w:val="left"/>
            </w:pPr>
            <w:r>
              <w:rPr>
                <w:sz w:val="22"/>
                <w:szCs w:val="22"/>
              </w:rPr>
              <w:t xml:space="preserve">Year 12</w:t>
            </w:r>
          </w:p>
        </w:tc>
        <w:tc>
          <w:tcPr>
            <w:tcW w:type="dxa" w:w="6561"/>
            <w:tcMar>
              <w:top w:type="dxa" w:w="70"/>
              <w:left w:type="dxa" w:w="100"/>
              <w:bottom w:type="dxa" w:w="70"/>
              <w:right w:type="dxa" w:w="100"/>
            </w:tcMar>
            <w:vAlign w:val="top"/>
          </w:tcPr>
          <w:p>
            <w:pPr>
              <w:spacing w:after="0" w:line="252"/>
              <w:jc w:val="left"/>
            </w:pPr>
            <w:r>
              <w:rPr>
                <w:sz w:val="22"/>
                <w:szCs w:val="22"/>
              </w:rPr>
              <w:t xml:space="preserve">9.2 mg/L</w:t>
            </w:r>
          </w:p>
        </w:tc>
      </w:tr>
    </w:tbl>
    <w:p>
      <w:pPr>
        <w:spacing w:after="160" w:before="0"/>
      </w:pPr>
    </w:p>
    <w:p>
      <w:pPr>
        <w:pStyle w:val="ListParagraph"/>
        <w:keepNext/>
        <w:keepLines/>
        <w:numPr>
          <w:ilvl w:val="0"/>
          <w:numId w:val="4"/>
        </w:numPr>
        <w:spacing w:after="60" w:line="276"/>
        <w:ind w:left="720" w:hanging="360"/>
      </w:pPr>
      <w:r>
        <w:rPr>
          <w:b/>
          <w:bCs/>
          <w:sz w:val="22"/>
          <w:szCs w:val="22"/>
        </w:rPr>
        <w:t xml:space="preserve">Note 3.</w:t>
      </w:r>
      <w:r>
        <w:rPr>
          <w:sz w:val="22"/>
          <w:szCs w:val="22"/>
        </w:rPr>
        <w:t xml:space="preserve"> The draft rule would require any farm above forty acres to file a nutrient plan each spring and to keep records of what it applies.</w:t>
      </w:r>
    </w:p>
    <w:p>
      <w:pPr>
        <w:pStyle w:val="ListParagraph"/>
        <w:keepNext/>
        <w:keepLines/>
        <w:numPr>
          <w:ilvl w:val="0"/>
          <w:numId w:val="4"/>
        </w:numPr>
        <w:spacing w:after="60" w:line="276"/>
        <w:ind w:left="720" w:hanging="360"/>
      </w:pPr>
      <w:r>
        <w:rPr>
          <w:b/>
          <w:bCs/>
          <w:sz w:val="22"/>
          <w:szCs w:val="22"/>
        </w:rPr>
        <w:t xml:space="preserve">Note 4.</w:t>
      </w:r>
      <w:r>
        <w:rPr>
          <w:sz w:val="22"/>
          <w:szCs w:val="22"/>
        </w:rPr>
        <w:t xml:space="preserve"> Farms below forty acres work about one third of the cropland in the valley.</w:t>
      </w:r>
    </w:p>
    <w:p>
      <w:pPr>
        <w:pStyle w:val="ListParagraph"/>
        <w:keepNext/>
        <w:keepLines/>
        <w:numPr>
          <w:ilvl w:val="0"/>
          <w:numId w:val="4"/>
        </w:numPr>
        <w:spacing w:after="60" w:line="276"/>
        <w:ind w:left="720" w:hanging="360"/>
      </w:pPr>
      <w:r>
        <w:rPr>
          <w:b/>
          <w:bCs/>
          <w:sz w:val="22"/>
          <w:szCs w:val="22"/>
        </w:rPr>
        <w:t xml:space="preserve">Note 5.</w:t>
      </w:r>
      <w:r>
        <w:rPr>
          <w:sz w:val="22"/>
          <w:szCs w:val="22"/>
        </w:rPr>
        <w:t xml:space="preserve"> Memo from a county soil scientist. Nitrate applied to a field in this valley reaches the water table after several years, so a rising well record reflects older practice, not this season's.</w:t>
      </w:r>
    </w:p>
    <w:p>
      <w:pPr>
        <w:pStyle w:val="ListParagraph"/>
        <w:keepNext/>
        <w:keepLines/>
        <w:numPr>
          <w:ilvl w:val="0"/>
          <w:numId w:val="4"/>
        </w:numPr>
        <w:spacing w:after="60" w:line="276"/>
        <w:ind w:left="720" w:hanging="360"/>
      </w:pPr>
      <w:r>
        <w:rPr>
          <w:b/>
          <w:bCs/>
          <w:sz w:val="22"/>
          <w:szCs w:val="22"/>
        </w:rPr>
        <w:t xml:space="preserve">Note 6.</w:t>
      </w:r>
      <w:r>
        <w:rPr>
          <w:sz w:val="22"/>
          <w:szCs w:val="22"/>
        </w:rPr>
        <w:t xml:space="preserve"> Memo from the growers' association. Filing a plan costs a small farm about $900 a year in consultant time, and many small farms already keep informal records.</w:t>
      </w:r>
    </w:p>
    <w:p>
      <w:pPr>
        <w:pStyle w:val="ListParagraph"/>
        <w:keepLines/>
        <w:numPr>
          <w:ilvl w:val="0"/>
          <w:numId w:val="4"/>
        </w:numPr>
        <w:spacing w:after="60" w:line="276"/>
        <w:ind w:left="720" w:hanging="360"/>
      </w:pPr>
      <w:r>
        <w:rPr>
          <w:b/>
          <w:bCs/>
          <w:sz w:val="22"/>
          <w:szCs w:val="22"/>
        </w:rPr>
        <w:t xml:space="preserve">Note 7.</w:t>
      </w:r>
      <w:r>
        <w:rPr>
          <w:sz w:val="22"/>
          <w:szCs w:val="22"/>
        </w:rPr>
        <w:t xml:space="preserve"> The town's health officer notes that boiling concentrates nitrate rather than removing it, so a boil notice would not protect anyone here.</w:t>
      </w:r>
    </w:p>
    <w:p>
      <w:pPr>
        <w:spacing w:after="40" w:before="0" w:line="120" w:lineRule="exact"/>
      </w:pPr>
    </w:p>
    <w:p>
      <w:pPr>
        <w:keepNext/>
        <w:keepLines/>
        <w:spacing w:after="120" w:line="276"/>
      </w:pPr>
      <w:r>
        <w:rPr>
          <w:b/>
          <w:bCs/>
          <w:sz w:val="22"/>
          <w:szCs w:val="22"/>
        </w:rPr>
        <w:t xml:space="preserve">Directions.</w:t>
      </w:r>
      <w:r>
        <w:rPr>
          <w:sz w:val="22"/>
          <w:szCs w:val="22"/>
        </w:rPr>
        <w:t xml:space="preserve"> Fill every row. Write in full sentences. Do not move to a row until the row above it is finished, because each row is written to serve the one before it.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663"/>
        <w:gridCol w:w="3502"/>
        <w:gridCol w:w="3915"/>
      </w:tblGrid>
      <w:tr>
        <w:trPr>
          <w:cantSplit/>
          <w:tblHeader/>
        </w:trPr>
        <w:tc>
          <w:tcPr>
            <w:tcW w:type="dxa" w:w="266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Slot</w:t>
            </w:r>
          </w:p>
        </w:tc>
        <w:tc>
          <w:tcPr>
            <w:tcW w:type="dxa" w:w="350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this row must do</w:t>
            </w:r>
          </w:p>
        </w:tc>
        <w:tc>
          <w:tcPr>
            <w:tcW w:type="dxa" w:w="391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Your text</w:t>
            </w:r>
          </w:p>
        </w:tc>
      </w:tr>
      <w:tr>
        <w:trPr>
          <w:cantSplit/>
          <w:trHeight w:val="1224" w:hRule="atLeast"/>
        </w:trPr>
        <w:tc>
          <w:tcPr>
            <w:tcW w:type="dxa" w:w="2663"/>
            <w:tcMar>
              <w:top w:type="dxa" w:w="70"/>
              <w:left w:type="dxa" w:w="100"/>
              <w:bottom w:type="dxa" w:w="70"/>
              <w:right w:type="dxa" w:w="100"/>
            </w:tcMar>
            <w:vAlign w:val="top"/>
          </w:tcPr>
          <w:p>
            <w:pPr>
              <w:keepNext/>
              <w:spacing w:after="0" w:line="252"/>
              <w:jc w:val="left"/>
            </w:pPr>
            <w:r>
              <w:rPr>
                <w:sz w:val="22"/>
                <w:szCs w:val="22"/>
              </w:rPr>
              <w:t xml:space="preserve">Claim</w:t>
            </w:r>
          </w:p>
        </w:tc>
        <w:tc>
          <w:tcPr>
            <w:tcW w:type="dxa" w:w="3502"/>
            <w:tcMar>
              <w:top w:type="dxa" w:w="70"/>
              <w:left w:type="dxa" w:w="100"/>
              <w:bottom w:type="dxa" w:w="70"/>
              <w:right w:type="dxa" w:w="100"/>
            </w:tcMar>
            <w:vAlign w:val="top"/>
          </w:tcPr>
          <w:p>
            <w:pPr>
              <w:keepNext/>
              <w:spacing w:after="0" w:line="252"/>
              <w:jc w:val="left"/>
            </w:pPr>
            <w:r>
              <w:rPr>
                <w:sz w:val="22"/>
                <w:szCs w:val="22"/>
              </w:rPr>
              <w:t xml:space="preserve">State what the county should do, in one sentence.</w:t>
            </w:r>
          </w:p>
        </w:tc>
        <w:tc>
          <w:tcPr>
            <w:tcW w:type="dxa" w:w="3915"/>
            <w:tcMar>
              <w:top w:type="dxa" w:w="70"/>
              <w:left w:type="dxa" w:w="100"/>
              <w:bottom w:type="dxa" w:w="70"/>
              <w:right w:type="dxa" w:w="100"/>
            </w:tcMar>
            <w:vAlign w:val="top"/>
          </w:tcPr>
          <w:p>
            <w:pPr>
              <w:keepNext/>
              <w:spacing w:after="0" w:line="252"/>
              <w:jc w:val="left"/>
            </w:pPr>
            <w:r>
              <w:rPr>
                <w:sz w:val="22"/>
                <w:szCs w:val="22"/>
              </w:rPr>
              <w:t xml:space="preserve">(write here)</w:t>
            </w:r>
          </w:p>
        </w:tc>
      </w:tr>
      <w:tr>
        <w:trPr>
          <w:cantSplit/>
          <w:trHeight w:val="1224" w:hRule="atLeast"/>
        </w:trPr>
        <w:tc>
          <w:tcPr>
            <w:tcW w:type="dxa" w:w="2663"/>
            <w:tcMar>
              <w:top w:type="dxa" w:w="70"/>
              <w:left w:type="dxa" w:w="100"/>
              <w:bottom w:type="dxa" w:w="70"/>
              <w:right w:type="dxa" w:w="100"/>
            </w:tcMar>
            <w:vAlign w:val="top"/>
          </w:tcPr>
          <w:p>
            <w:pPr>
              <w:keepNext/>
              <w:spacing w:after="0" w:line="252"/>
              <w:jc w:val="left"/>
            </w:pPr>
            <w:r>
              <w:rPr>
                <w:sz w:val="22"/>
                <w:szCs w:val="22"/>
              </w:rPr>
              <w:t xml:space="preserve">Grounds</w:t>
            </w:r>
          </w:p>
        </w:tc>
        <w:tc>
          <w:tcPr>
            <w:tcW w:type="dxa" w:w="3502"/>
            <w:tcMar>
              <w:top w:type="dxa" w:w="70"/>
              <w:left w:type="dxa" w:w="100"/>
              <w:bottom w:type="dxa" w:w="70"/>
              <w:right w:type="dxa" w:w="100"/>
            </w:tcMar>
            <w:vAlign w:val="top"/>
          </w:tcPr>
          <w:p>
            <w:pPr>
              <w:keepNext/>
              <w:spacing w:after="0" w:line="252"/>
              <w:jc w:val="left"/>
            </w:pPr>
            <w:r>
              <w:rPr>
                <w:sz w:val="22"/>
                <w:szCs w:val="22"/>
              </w:rPr>
              <w:t xml:space="preserve">Give the specific evidence, naming the note number.</w:t>
            </w:r>
          </w:p>
        </w:tc>
        <w:tc>
          <w:tcPr>
            <w:tcW w:type="dxa" w:w="3915"/>
            <w:tcMar>
              <w:top w:type="dxa" w:w="70"/>
              <w:left w:type="dxa" w:w="100"/>
              <w:bottom w:type="dxa" w:w="70"/>
              <w:right w:type="dxa" w:w="100"/>
            </w:tcMar>
            <w:vAlign w:val="top"/>
          </w:tcPr>
          <w:p>
            <w:pPr>
              <w:keepNext/>
              <w:spacing w:after="0" w:line="252"/>
              <w:jc w:val="left"/>
            </w:pPr>
            <w:r>
              <w:rPr>
                <w:sz w:val="22"/>
                <w:szCs w:val="22"/>
              </w:rPr>
              <w:t xml:space="preserve">(write here)</w:t>
            </w:r>
          </w:p>
        </w:tc>
      </w:tr>
      <w:tr>
        <w:trPr>
          <w:cantSplit/>
          <w:trHeight w:val="1224" w:hRule="atLeast"/>
        </w:trPr>
        <w:tc>
          <w:tcPr>
            <w:tcW w:type="dxa" w:w="2663"/>
            <w:tcMar>
              <w:top w:type="dxa" w:w="70"/>
              <w:left w:type="dxa" w:w="100"/>
              <w:bottom w:type="dxa" w:w="70"/>
              <w:right w:type="dxa" w:w="100"/>
            </w:tcMar>
            <w:vAlign w:val="top"/>
          </w:tcPr>
          <w:p>
            <w:pPr>
              <w:keepNext/>
              <w:spacing w:after="0" w:line="252"/>
              <w:jc w:val="left"/>
            </w:pPr>
            <w:r>
              <w:rPr>
                <w:sz w:val="22"/>
                <w:szCs w:val="22"/>
              </w:rPr>
              <w:t xml:space="preserve">Warrant</w:t>
            </w:r>
          </w:p>
        </w:tc>
        <w:tc>
          <w:tcPr>
            <w:tcW w:type="dxa" w:w="3502"/>
            <w:tcMar>
              <w:top w:type="dxa" w:w="70"/>
              <w:left w:type="dxa" w:w="100"/>
              <w:bottom w:type="dxa" w:w="70"/>
              <w:right w:type="dxa" w:w="100"/>
            </w:tcMar>
            <w:vAlign w:val="top"/>
          </w:tcPr>
          <w:p>
            <w:pPr>
              <w:keepNext/>
              <w:spacing w:after="0" w:line="252"/>
              <w:jc w:val="left"/>
            </w:pPr>
            <w:r>
              <w:rPr>
                <w:sz w:val="22"/>
                <w:szCs w:val="22"/>
              </w:rPr>
              <w:t xml:space="preserve">State the general principle that makes that evidence count. Do not quote a note here.</w:t>
            </w:r>
          </w:p>
        </w:tc>
        <w:tc>
          <w:tcPr>
            <w:tcW w:type="dxa" w:w="3915"/>
            <w:tcMar>
              <w:top w:type="dxa" w:w="70"/>
              <w:left w:type="dxa" w:w="100"/>
              <w:bottom w:type="dxa" w:w="70"/>
              <w:right w:type="dxa" w:w="100"/>
            </w:tcMar>
            <w:vAlign w:val="top"/>
          </w:tcPr>
          <w:p>
            <w:pPr>
              <w:keepNext/>
              <w:spacing w:after="0" w:line="252"/>
              <w:jc w:val="left"/>
            </w:pPr>
            <w:r>
              <w:rPr>
                <w:sz w:val="22"/>
                <w:szCs w:val="22"/>
              </w:rPr>
              <w:t xml:space="preserve">(write here)</w:t>
            </w:r>
          </w:p>
        </w:tc>
      </w:tr>
      <w:tr>
        <w:trPr>
          <w:cantSplit/>
          <w:trHeight w:val="1224" w:hRule="atLeast"/>
        </w:trPr>
        <w:tc>
          <w:tcPr>
            <w:tcW w:type="dxa" w:w="2663"/>
            <w:tcMar>
              <w:top w:type="dxa" w:w="70"/>
              <w:left w:type="dxa" w:w="100"/>
              <w:bottom w:type="dxa" w:w="70"/>
              <w:right w:type="dxa" w:w="100"/>
            </w:tcMar>
            <w:vAlign w:val="top"/>
          </w:tcPr>
          <w:p>
            <w:pPr>
              <w:keepNext/>
              <w:spacing w:after="0" w:line="252"/>
              <w:jc w:val="left"/>
            </w:pPr>
            <w:r>
              <w:rPr>
                <w:sz w:val="22"/>
                <w:szCs w:val="22"/>
              </w:rPr>
              <w:t xml:space="preserve">Backing</w:t>
            </w:r>
          </w:p>
        </w:tc>
        <w:tc>
          <w:tcPr>
            <w:tcW w:type="dxa" w:w="3502"/>
            <w:tcMar>
              <w:top w:type="dxa" w:w="70"/>
              <w:left w:type="dxa" w:w="100"/>
              <w:bottom w:type="dxa" w:w="70"/>
              <w:right w:type="dxa" w:w="100"/>
            </w:tcMar>
            <w:vAlign w:val="top"/>
          </w:tcPr>
          <w:p>
            <w:pPr>
              <w:keepNext/>
              <w:spacing w:after="0" w:line="252"/>
              <w:jc w:val="left"/>
            </w:pPr>
            <w:r>
              <w:rPr>
                <w:sz w:val="22"/>
                <w:szCs w:val="22"/>
              </w:rPr>
              <w:t xml:space="preserve">Give the support for the warrant itself, naming a note or a reason a reader would accept.</w:t>
            </w:r>
          </w:p>
        </w:tc>
        <w:tc>
          <w:tcPr>
            <w:tcW w:type="dxa" w:w="3915"/>
            <w:tcMar>
              <w:top w:type="dxa" w:w="70"/>
              <w:left w:type="dxa" w:w="100"/>
              <w:bottom w:type="dxa" w:w="70"/>
              <w:right w:type="dxa" w:w="100"/>
            </w:tcMar>
            <w:vAlign w:val="top"/>
          </w:tcPr>
          <w:p>
            <w:pPr>
              <w:keepNext/>
              <w:spacing w:after="0" w:line="252"/>
              <w:jc w:val="left"/>
            </w:pPr>
            <w:r>
              <w:rPr>
                <w:sz w:val="22"/>
                <w:szCs w:val="22"/>
              </w:rPr>
              <w:t xml:space="preserve">(write here)</w:t>
            </w:r>
          </w:p>
        </w:tc>
      </w:tr>
      <w:tr>
        <w:trPr>
          <w:cantSplit/>
          <w:trHeight w:val="1224" w:hRule="atLeast"/>
        </w:trPr>
        <w:tc>
          <w:tcPr>
            <w:tcW w:type="dxa" w:w="2663"/>
            <w:tcMar>
              <w:top w:type="dxa" w:w="70"/>
              <w:left w:type="dxa" w:w="100"/>
              <w:bottom w:type="dxa" w:w="70"/>
              <w:right w:type="dxa" w:w="100"/>
            </w:tcMar>
            <w:vAlign w:val="top"/>
          </w:tcPr>
          <w:p>
            <w:pPr>
              <w:keepNext/>
              <w:spacing w:after="0" w:line="252"/>
              <w:jc w:val="left"/>
            </w:pPr>
            <w:r>
              <w:rPr>
                <w:sz w:val="22"/>
                <w:szCs w:val="22"/>
              </w:rPr>
              <w:t xml:space="preserve">Qualifier</w:t>
            </w:r>
          </w:p>
        </w:tc>
        <w:tc>
          <w:tcPr>
            <w:tcW w:type="dxa" w:w="3502"/>
            <w:tcMar>
              <w:top w:type="dxa" w:w="70"/>
              <w:left w:type="dxa" w:w="100"/>
              <w:bottom w:type="dxa" w:w="70"/>
              <w:right w:type="dxa" w:w="100"/>
            </w:tcMar>
            <w:vAlign w:val="top"/>
          </w:tcPr>
          <w:p>
            <w:pPr>
              <w:keepNext/>
              <w:spacing w:after="0" w:line="252"/>
              <w:jc w:val="left"/>
            </w:pPr>
            <w:r>
              <w:rPr>
                <w:sz w:val="22"/>
                <w:szCs w:val="22"/>
              </w:rPr>
              <w:t xml:space="preserve">Limit the claim to what the notes actually reach. Use words such as "in this valley" or "until the record is longer."</w:t>
            </w:r>
          </w:p>
        </w:tc>
        <w:tc>
          <w:tcPr>
            <w:tcW w:type="dxa" w:w="3915"/>
            <w:tcMar>
              <w:top w:type="dxa" w:w="70"/>
              <w:left w:type="dxa" w:w="100"/>
              <w:bottom w:type="dxa" w:w="70"/>
              <w:right w:type="dxa" w:w="100"/>
            </w:tcMar>
            <w:vAlign w:val="top"/>
          </w:tcPr>
          <w:p>
            <w:pPr>
              <w:keepNext/>
              <w:spacing w:after="0" w:line="252"/>
              <w:jc w:val="left"/>
            </w:pPr>
            <w:r>
              <w:rPr>
                <w:sz w:val="22"/>
                <w:szCs w:val="22"/>
              </w:rPr>
              <w:t xml:space="preserve">(write here)</w:t>
            </w:r>
          </w:p>
        </w:tc>
      </w:tr>
      <w:tr>
        <w:trPr>
          <w:cantSplit/>
          <w:trHeight w:val="1224" w:hRule="atLeast"/>
        </w:trPr>
        <w:tc>
          <w:tcPr>
            <w:tcW w:type="dxa" w:w="2663"/>
            <w:tcMar>
              <w:top w:type="dxa" w:w="70"/>
              <w:left w:type="dxa" w:w="100"/>
              <w:bottom w:type="dxa" w:w="70"/>
              <w:right w:type="dxa" w:w="100"/>
            </w:tcMar>
            <w:vAlign w:val="top"/>
          </w:tcPr>
          <w:p>
            <w:pPr>
              <w:spacing w:after="0" w:line="252"/>
              <w:jc w:val="left"/>
            </w:pPr>
            <w:r>
              <w:rPr>
                <w:sz w:val="22"/>
                <w:szCs w:val="22"/>
              </w:rPr>
              <w:t xml:space="preserve">Rebuttal and response</w:t>
            </w:r>
          </w:p>
        </w:tc>
        <w:tc>
          <w:tcPr>
            <w:tcW w:type="dxa" w:w="3502"/>
            <w:tcMar>
              <w:top w:type="dxa" w:w="70"/>
              <w:left w:type="dxa" w:w="100"/>
              <w:bottom w:type="dxa" w:w="70"/>
              <w:right w:type="dxa" w:w="100"/>
            </w:tcMar>
            <w:vAlign w:val="top"/>
          </w:tcPr>
          <w:p>
            <w:pPr>
              <w:spacing w:after="0" w:line="252"/>
              <w:jc w:val="left"/>
            </w:pPr>
            <w:r>
              <w:rPr>
                <w:sz w:val="22"/>
                <w:szCs w:val="22"/>
              </w:rPr>
              <w:t xml:space="preserve">State the strongest objection in its best form, then answer it with a named note.</w:t>
            </w:r>
          </w:p>
        </w:tc>
        <w:tc>
          <w:tcPr>
            <w:tcW w:type="dxa" w:w="3915"/>
            <w:tcMar>
              <w:top w:type="dxa" w:w="70"/>
              <w:left w:type="dxa" w:w="100"/>
              <w:bottom w:type="dxa" w:w="70"/>
              <w:right w:type="dxa" w:w="100"/>
            </w:tcMar>
            <w:vAlign w:val="top"/>
          </w:tcPr>
          <w:p>
            <w:pPr>
              <w:spacing w:after="0" w:line="252"/>
              <w:jc w:val="left"/>
            </w:pPr>
            <w:r>
              <w:rPr>
                <w:sz w:val="22"/>
                <w:szCs w:val="22"/>
              </w:rPr>
              <w:t xml:space="preserve">(write here)</w:t>
            </w:r>
          </w:p>
        </w:tc>
      </w:tr>
    </w:tbl>
    <w:p>
      <w:pPr>
        <w:spacing w:after="160" w:before="0"/>
      </w:pPr>
    </w:p>
    <w:p>
      <w:pPr>
        <w:spacing w:after="120" w:line="276"/>
      </w:pPr>
      <w:r>
        <w:rPr>
          <w:b/>
          <w:bCs/>
          <w:sz w:val="22"/>
          <w:szCs w:val="22"/>
        </w:rPr>
        <w:t xml:space="preserve">Last step.</w:t>
      </w:r>
      <w:r>
        <w:rPr>
          <w:sz w:val="22"/>
          <w:szCs w:val="22"/>
        </w:rPr>
        <w:t xml:space="preserve"> Read your six rows aloud in order as one paragraph. If the Warrant row could be deleted without the paragraph losing anything, it is holding evidence instead of a principle, and it needs to be rewritten.</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COMPLETED EXEMPLAR · FOR TEACHERS</w:t>
      </w:r>
    </w:p>
    <w:p>
      <w:pPr>
        <w:pStyle w:val="Heading1"/>
        <w:keepNext/>
        <w:keepLines/>
      </w:pPr>
      <w:r>
        <w:rPr>
          <w:sz w:val="40"/>
          <w:szCs w:val="40"/>
        </w:rPr>
        <w:t xml:space="preserve">Warrant and Rebuttal Frame for the Corvenna Nitrate Rule</w:t>
      </w:r>
    </w:p>
    <w:p>
      <w:pPr>
        <w:keepNext/>
        <w:spacing w:after="160"/>
      </w:pPr>
      <w:r>
        <w:rPr>
          <w:color w:val="5B6B70"/>
          <w:sz w:val="20"/>
          <w:szCs w:val="20"/>
        </w:rPr>
        <w:t xml:space="preserve">Graphic organizer · Grade 11 · English Language Arts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290"/>
        <w:gridCol w:w="4385"/>
        <w:gridCol w:w="4405"/>
      </w:tblGrid>
      <w:tr>
        <w:trPr>
          <w:cantSplit/>
          <w:tblHeader/>
        </w:trPr>
        <w:tc>
          <w:tcPr>
            <w:tcW w:type="dxa" w:w="129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Slot</w:t>
            </w:r>
          </w:p>
        </w:tc>
        <w:tc>
          <w:tcPr>
            <w:tcW w:type="dxa" w:w="438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this row must do</w:t>
            </w:r>
          </w:p>
        </w:tc>
        <w:tc>
          <w:tcPr>
            <w:tcW w:type="dxa" w:w="440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Your text</w:t>
            </w:r>
          </w:p>
        </w:tc>
      </w:tr>
      <w:tr>
        <w:trPr>
          <w:cantSplit/>
        </w:trPr>
        <w:tc>
          <w:tcPr>
            <w:tcW w:type="dxa" w:w="1290"/>
            <w:tcMar>
              <w:top w:type="dxa" w:w="70"/>
              <w:left w:type="dxa" w:w="100"/>
              <w:bottom w:type="dxa" w:w="70"/>
              <w:right w:type="dxa" w:w="100"/>
            </w:tcMar>
            <w:vAlign w:val="top"/>
          </w:tcPr>
          <w:p>
            <w:pPr>
              <w:spacing w:after="0" w:line="252"/>
              <w:jc w:val="left"/>
            </w:pPr>
            <w:r>
              <w:rPr>
                <w:sz w:val="22"/>
                <w:szCs w:val="22"/>
              </w:rPr>
              <w:t xml:space="preserve">Claim</w:t>
            </w:r>
          </w:p>
        </w:tc>
        <w:tc>
          <w:tcPr>
            <w:tcW w:type="dxa" w:w="4385"/>
            <w:tcMar>
              <w:top w:type="dxa" w:w="70"/>
              <w:left w:type="dxa" w:w="100"/>
              <w:bottom w:type="dxa" w:w="70"/>
              <w:right w:type="dxa" w:w="100"/>
            </w:tcMar>
            <w:vAlign w:val="top"/>
          </w:tcPr>
          <w:p>
            <w:pPr>
              <w:spacing w:after="0" w:line="252"/>
              <w:jc w:val="left"/>
            </w:pPr>
            <w:r>
              <w:rPr>
                <w:sz w:val="22"/>
                <w:szCs w:val="22"/>
              </w:rPr>
              <w:t xml:space="preserve">State what the county should do, in one sentence.</w:t>
            </w:r>
          </w:p>
        </w:tc>
        <w:tc>
          <w:tcPr>
            <w:tcW w:type="dxa" w:w="4405"/>
            <w:tcMar>
              <w:top w:type="dxa" w:w="70"/>
              <w:left w:type="dxa" w:w="100"/>
              <w:bottom w:type="dxa" w:w="70"/>
              <w:right w:type="dxa" w:w="100"/>
            </w:tcMar>
            <w:vAlign w:val="top"/>
          </w:tcPr>
          <w:p>
            <w:pPr>
              <w:spacing w:after="0" w:line="252"/>
              <w:jc w:val="left"/>
            </w:pPr>
            <w:r>
              <w:rPr>
                <w:sz w:val="22"/>
                <w:szCs w:val="22"/>
              </w:rPr>
              <w:t xml:space="preserve">The county should apply the nutrient plan requirement to every farm in the valley rather than exempt farms below forty acres.</w:t>
            </w:r>
          </w:p>
        </w:tc>
      </w:tr>
      <w:tr>
        <w:trPr>
          <w:cantSplit/>
        </w:trPr>
        <w:tc>
          <w:tcPr>
            <w:tcW w:type="dxa" w:w="1290"/>
            <w:tcMar>
              <w:top w:type="dxa" w:w="70"/>
              <w:left w:type="dxa" w:w="100"/>
              <w:bottom w:type="dxa" w:w="70"/>
              <w:right w:type="dxa" w:w="100"/>
            </w:tcMar>
            <w:vAlign w:val="top"/>
          </w:tcPr>
          <w:p>
            <w:pPr>
              <w:spacing w:after="0" w:line="252"/>
              <w:jc w:val="left"/>
            </w:pPr>
            <w:r>
              <w:rPr>
                <w:sz w:val="22"/>
                <w:szCs w:val="22"/>
              </w:rPr>
              <w:t xml:space="preserve">Grounds</w:t>
            </w:r>
          </w:p>
        </w:tc>
        <w:tc>
          <w:tcPr>
            <w:tcW w:type="dxa" w:w="4385"/>
            <w:tcMar>
              <w:top w:type="dxa" w:w="70"/>
              <w:left w:type="dxa" w:w="100"/>
              <w:bottom w:type="dxa" w:w="70"/>
              <w:right w:type="dxa" w:w="100"/>
            </w:tcMar>
            <w:vAlign w:val="top"/>
          </w:tcPr>
          <w:p>
            <w:pPr>
              <w:spacing w:after="0" w:line="252"/>
              <w:jc w:val="left"/>
            </w:pPr>
            <w:r>
              <w:rPr>
                <w:sz w:val="22"/>
                <w:szCs w:val="22"/>
              </w:rPr>
              <w:t xml:space="preserve">Give the specific evidence, naming the note number.</w:t>
            </w:r>
          </w:p>
        </w:tc>
        <w:tc>
          <w:tcPr>
            <w:tcW w:type="dxa" w:w="4405"/>
            <w:tcMar>
              <w:top w:type="dxa" w:w="70"/>
              <w:left w:type="dxa" w:w="100"/>
              <w:bottom w:type="dxa" w:w="70"/>
              <w:right w:type="dxa" w:w="100"/>
            </w:tcMar>
            <w:vAlign w:val="top"/>
          </w:tcPr>
          <w:p>
            <w:pPr>
              <w:spacing w:after="0" w:line="252"/>
              <w:jc w:val="left"/>
            </w:pPr>
            <w:r>
              <w:rPr>
                <w:sz w:val="22"/>
                <w:szCs w:val="22"/>
              </w:rPr>
              <w:t xml:space="preserve">Nitrate in Well 3 rose from 4.1 mg/L to 9.2 mg/L over twelve years (Note 2), and farms below the forty-acre line work about one third of the valley's cropland (Note 4).</w:t>
            </w:r>
          </w:p>
        </w:tc>
      </w:tr>
      <w:tr>
        <w:trPr>
          <w:cantSplit/>
        </w:trPr>
        <w:tc>
          <w:tcPr>
            <w:tcW w:type="dxa" w:w="1290"/>
            <w:tcMar>
              <w:top w:type="dxa" w:w="70"/>
              <w:left w:type="dxa" w:w="100"/>
              <w:bottom w:type="dxa" w:w="70"/>
              <w:right w:type="dxa" w:w="100"/>
            </w:tcMar>
            <w:vAlign w:val="top"/>
          </w:tcPr>
          <w:p>
            <w:pPr>
              <w:spacing w:after="0" w:line="252"/>
              <w:jc w:val="left"/>
            </w:pPr>
            <w:r>
              <w:rPr>
                <w:sz w:val="22"/>
                <w:szCs w:val="22"/>
              </w:rPr>
              <w:t xml:space="preserve">Warrant</w:t>
            </w:r>
          </w:p>
        </w:tc>
        <w:tc>
          <w:tcPr>
            <w:tcW w:type="dxa" w:w="4385"/>
            <w:tcMar>
              <w:top w:type="dxa" w:w="70"/>
              <w:left w:type="dxa" w:w="100"/>
              <w:bottom w:type="dxa" w:w="70"/>
              <w:right w:type="dxa" w:w="100"/>
            </w:tcMar>
            <w:vAlign w:val="top"/>
          </w:tcPr>
          <w:p>
            <w:pPr>
              <w:spacing w:after="0" w:line="252"/>
              <w:jc w:val="left"/>
            </w:pPr>
            <w:r>
              <w:rPr>
                <w:sz w:val="22"/>
                <w:szCs w:val="22"/>
              </w:rPr>
              <w:t xml:space="preserve">State the general principle that makes that evidence count. Do not quote a note here.</w:t>
            </w:r>
          </w:p>
        </w:tc>
        <w:tc>
          <w:tcPr>
            <w:tcW w:type="dxa" w:w="4405"/>
            <w:tcMar>
              <w:top w:type="dxa" w:w="70"/>
              <w:left w:type="dxa" w:w="100"/>
              <w:bottom w:type="dxa" w:w="70"/>
              <w:right w:type="dxa" w:w="100"/>
            </w:tcMar>
            <w:vAlign w:val="top"/>
          </w:tcPr>
          <w:p>
            <w:pPr>
              <w:spacing w:after="0" w:line="252"/>
              <w:jc w:val="left"/>
            </w:pPr>
            <w:r>
              <w:rPr>
                <w:sz w:val="22"/>
                <w:szCs w:val="22"/>
              </w:rPr>
              <w:t xml:space="preserve">A rule aimed at a contaminant that reaches wells from the land above them cannot leave out a large share of that land and still be expected to change the trend.</w:t>
            </w:r>
          </w:p>
        </w:tc>
      </w:tr>
      <w:tr>
        <w:trPr>
          <w:cantSplit/>
        </w:trPr>
        <w:tc>
          <w:tcPr>
            <w:tcW w:type="dxa" w:w="1290"/>
            <w:tcMar>
              <w:top w:type="dxa" w:w="70"/>
              <w:left w:type="dxa" w:w="100"/>
              <w:bottom w:type="dxa" w:w="70"/>
              <w:right w:type="dxa" w:w="100"/>
            </w:tcMar>
            <w:vAlign w:val="top"/>
          </w:tcPr>
          <w:p>
            <w:pPr>
              <w:spacing w:after="0" w:line="252"/>
              <w:jc w:val="left"/>
            </w:pPr>
            <w:r>
              <w:rPr>
                <w:sz w:val="22"/>
                <w:szCs w:val="22"/>
              </w:rPr>
              <w:t xml:space="preserve">Backing</w:t>
            </w:r>
          </w:p>
        </w:tc>
        <w:tc>
          <w:tcPr>
            <w:tcW w:type="dxa" w:w="4385"/>
            <w:tcMar>
              <w:top w:type="dxa" w:w="70"/>
              <w:left w:type="dxa" w:w="100"/>
              <w:bottom w:type="dxa" w:w="70"/>
              <w:right w:type="dxa" w:w="100"/>
            </w:tcMar>
            <w:vAlign w:val="top"/>
          </w:tcPr>
          <w:p>
            <w:pPr>
              <w:spacing w:after="0" w:line="252"/>
              <w:jc w:val="left"/>
            </w:pPr>
            <w:r>
              <w:rPr>
                <w:sz w:val="22"/>
                <w:szCs w:val="22"/>
              </w:rPr>
              <w:t xml:space="preserve">Give the support for the warrant itself, naming a note or a reason a reader would accept.</w:t>
            </w:r>
          </w:p>
        </w:tc>
        <w:tc>
          <w:tcPr>
            <w:tcW w:type="dxa" w:w="4405"/>
            <w:tcMar>
              <w:top w:type="dxa" w:w="70"/>
              <w:left w:type="dxa" w:w="100"/>
              <w:bottom w:type="dxa" w:w="70"/>
              <w:right w:type="dxa" w:w="100"/>
            </w:tcMar>
            <w:vAlign w:val="top"/>
          </w:tcPr>
          <w:p>
            <w:pPr>
              <w:spacing w:after="0" w:line="252"/>
              <w:jc w:val="left"/>
            </w:pPr>
            <w:r>
              <w:rPr>
                <w:sz w:val="22"/>
                <w:szCs w:val="22"/>
              </w:rPr>
              <w:t xml:space="preserve">All five town wells are shallow and sit under cropland (Note 1), so what reaches the water table is the sum of what every field above it releases, whatever the size of the field.</w:t>
            </w:r>
          </w:p>
        </w:tc>
      </w:tr>
      <w:tr>
        <w:trPr>
          <w:cantSplit/>
        </w:trPr>
        <w:tc>
          <w:tcPr>
            <w:tcW w:type="dxa" w:w="1290"/>
            <w:tcMar>
              <w:top w:type="dxa" w:w="70"/>
              <w:left w:type="dxa" w:w="100"/>
              <w:bottom w:type="dxa" w:w="70"/>
              <w:right w:type="dxa" w:w="100"/>
            </w:tcMar>
            <w:vAlign w:val="top"/>
          </w:tcPr>
          <w:p>
            <w:pPr>
              <w:spacing w:after="0" w:line="252"/>
              <w:jc w:val="left"/>
            </w:pPr>
            <w:r>
              <w:rPr>
                <w:sz w:val="22"/>
                <w:szCs w:val="22"/>
              </w:rPr>
              <w:t xml:space="preserve">Qualifier</w:t>
            </w:r>
          </w:p>
        </w:tc>
        <w:tc>
          <w:tcPr>
            <w:tcW w:type="dxa" w:w="4385"/>
            <w:tcMar>
              <w:top w:type="dxa" w:w="70"/>
              <w:left w:type="dxa" w:w="100"/>
              <w:bottom w:type="dxa" w:w="70"/>
              <w:right w:type="dxa" w:w="100"/>
            </w:tcMar>
            <w:vAlign w:val="top"/>
          </w:tcPr>
          <w:p>
            <w:pPr>
              <w:spacing w:after="0" w:line="252"/>
              <w:jc w:val="left"/>
            </w:pPr>
            <w:r>
              <w:rPr>
                <w:sz w:val="22"/>
                <w:szCs w:val="22"/>
              </w:rPr>
              <w:t xml:space="preserve">Limit the claim to what the notes actually reach. Use words such as "in this valley" or "until the record is longer."</w:t>
            </w:r>
          </w:p>
        </w:tc>
        <w:tc>
          <w:tcPr>
            <w:tcW w:type="dxa" w:w="4405"/>
            <w:tcMar>
              <w:top w:type="dxa" w:w="70"/>
              <w:left w:type="dxa" w:w="100"/>
              <w:bottom w:type="dxa" w:w="70"/>
              <w:right w:type="dxa" w:w="100"/>
            </w:tcMar>
            <w:vAlign w:val="top"/>
          </w:tcPr>
          <w:p>
            <w:pPr>
              <w:spacing w:after="0" w:line="252"/>
              <w:jc w:val="left"/>
            </w:pPr>
            <w:r>
              <w:rPr>
                <w:sz w:val="22"/>
                <w:szCs w:val="22"/>
              </w:rPr>
              <w:t xml:space="preserve">This holds for the Corvenna valley, where the wells are shallow and the soil is sandy, and it does not follow for a town drawing from a deep confined aquifer.</w:t>
            </w:r>
          </w:p>
        </w:tc>
      </w:tr>
      <w:tr>
        <w:trPr>
          <w:cantSplit/>
        </w:trPr>
        <w:tc>
          <w:tcPr>
            <w:tcW w:type="dxa" w:w="1290"/>
            <w:tcMar>
              <w:top w:type="dxa" w:w="70"/>
              <w:left w:type="dxa" w:w="100"/>
              <w:bottom w:type="dxa" w:w="70"/>
              <w:right w:type="dxa" w:w="100"/>
            </w:tcMar>
            <w:vAlign w:val="top"/>
          </w:tcPr>
          <w:p>
            <w:pPr>
              <w:spacing w:after="0" w:line="252"/>
              <w:jc w:val="left"/>
            </w:pPr>
            <w:r>
              <w:rPr>
                <w:sz w:val="22"/>
                <w:szCs w:val="22"/>
              </w:rPr>
              <w:t xml:space="preserve">Rebuttal and response</w:t>
            </w:r>
          </w:p>
        </w:tc>
        <w:tc>
          <w:tcPr>
            <w:tcW w:type="dxa" w:w="4385"/>
            <w:tcMar>
              <w:top w:type="dxa" w:w="70"/>
              <w:left w:type="dxa" w:w="100"/>
              <w:bottom w:type="dxa" w:w="70"/>
              <w:right w:type="dxa" w:w="100"/>
            </w:tcMar>
            <w:vAlign w:val="top"/>
          </w:tcPr>
          <w:p>
            <w:pPr>
              <w:spacing w:after="0" w:line="252"/>
              <w:jc w:val="left"/>
            </w:pPr>
            <w:r>
              <w:rPr>
                <w:sz w:val="22"/>
                <w:szCs w:val="22"/>
              </w:rPr>
              <w:t xml:space="preserve">State the strongest objection in its best form, then answer it with a named note.</w:t>
            </w:r>
          </w:p>
        </w:tc>
        <w:tc>
          <w:tcPr>
            <w:tcW w:type="dxa" w:w="4405"/>
            <w:tcMar>
              <w:top w:type="dxa" w:w="70"/>
              <w:left w:type="dxa" w:w="100"/>
              <w:bottom w:type="dxa" w:w="70"/>
              <w:right w:type="dxa" w:w="100"/>
            </w:tcMar>
            <w:vAlign w:val="top"/>
          </w:tcPr>
          <w:p>
            <w:pPr>
              <w:spacing w:after="0" w:line="252"/>
              <w:jc w:val="left"/>
            </w:pPr>
            <w:r>
              <w:rPr>
                <w:sz w:val="22"/>
                <w:szCs w:val="22"/>
              </w:rPr>
              <w:t xml:space="preserve">The growers' association is right that a plan costs a small farm about $900 a year and that many small farms already keep informal records (Note 6), which makes the requirement look like paperwork for its own sake. The county can answer that objection by accepting a short form for small acreage, because the soil scientist's memo (Note 5) shows the record lags practice by years, so the county needs to know what is being applied now rather than after the next rise appears in Well 3.</w:t>
            </w:r>
          </w:p>
        </w:tc>
      </w:tr>
    </w:tbl>
    <w:p>
      <w:pPr>
        <w:spacing w:after="160" w:before="0"/>
      </w:pPr>
    </w:p>
    <w:p>
      <w:pPr>
        <w:spacing w:after="100" w:line="264"/>
      </w:pPr>
      <w:r>
        <w:rPr>
          <w:b/>
          <w:bCs/>
          <w:sz w:val="22"/>
          <w:szCs w:val="22"/>
        </w:rPr>
        <w:t xml:space="preserve">Model paragraph built from the rows.</w:t>
      </w:r>
      <w:r>
        <w:rPr>
          <w:sz w:val="22"/>
          <w:szCs w:val="22"/>
        </w:rPr>
        <w:t xml:space="preserve"> The county should apply the nutrient plan requirement to every farm in the valley rather than exempt farms below forty acres. Nitrate in Well 3 rose from 4.1 mg/L to 9.2 mg/L over twelve years, and the farms that would be exempted work about one third of the valley's cropland. A rule aimed at a contaminant that arrives from the land above the wells cannot leave out a large share of that land and still change the trend, and all five town wells are shallow and sit under cropland. This holds for the Corvenna valley and not for a town drawing from a deep confined aquifer. The growers are right that the paperwork costs a small farm real money each year, so the county should accept a short form for small acreage, since the soil record lags practice by years and the county needs current numbers rather than a later confirmation of the same rise.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Warrant and Rebuttal Frame for the Corvenna Nitrate Rule</dc:title>
  <dc:subject>Graphic organizer · Grade 11 · English Language Arts</dc:subject>
  <dc:creator>Water for Schools</dc:creator>
  <cp:keywords>Graphic organizer, Grade 11, English Language Arts</cp:keywords>
  <dc:description>A grade 11 Toulmin-style organizer that separates claim, grounds, warrant, backing, qualifier, and rebuttal in an argument about a county nitrate rule.</dc:description>
  <cp:lastModifiedBy>Water for Schools</cp:lastModifiedBy>
  <cp:revision>1</cp:revision>
  <dcterms:created xsi:type="dcterms:W3CDTF">2026-10-19T16:28:55.303Z</dcterms:created>
  <dcterms:modified xsi:type="dcterms:W3CDTF">2026-10-19T16:28:55.303Z</dcterms:modified>
</cp:coreProperties>
</file>

<file path=docProps/custom.xml><?xml version="1.0" encoding="utf-8"?>
<Properties xmlns="http://schemas.openxmlformats.org/officeDocument/2006/custom-properties" xmlns:vt="http://schemas.openxmlformats.org/officeDocument/2006/docPropsVTypes"/>
</file>