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Norbeck County Approve the Data Center's Wells? A Debate Kit</w:t>
      </w:r>
    </w:p>
    <w:p>
      <w:pPr>
        <w:keepNext/>
        <w:spacing w:after="160"/>
      </w:pPr>
      <w:r>
        <w:rPr>
          <w:color w:val="5B6B70"/>
          <w:sz w:val="20"/>
          <w:szCs w:val="20"/>
        </w:rPr>
        <w:t xml:space="preserve">Debate kit · Grade 11 · English Language Arts</w:t>
      </w:r>
    </w:p>
    <w:p>
      <w:pPr>
        <w:spacing w:after="100" w:line="264"/>
      </w:pPr>
      <w:r>
        <w:rPr>
          <w:i/>
          <w:iCs/>
          <w:color w:val="12333F"/>
          <w:sz w:val="22"/>
          <w:szCs w:val="22"/>
        </w:rPr>
        <w:t xml:space="preserve">A grade 11 debate kit on a fictional county's decision about groundwater withdrawals for a data center, with two-sided evidence, roles,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100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Index cards for flowing arguments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argument about a permit decision using cited evidence rather than general appeals.</w:t>
      </w:r>
    </w:p>
    <w:p>
      <w:pPr>
        <w:pStyle w:val="ListParagraph"/>
        <w:keepNext/>
        <w:keepLines/>
        <w:numPr>
          <w:ilvl w:val="0"/>
          <w:numId w:val="2"/>
        </w:numPr>
        <w:spacing w:after="60" w:line="264"/>
        <w:ind w:left="720" w:hanging="360"/>
      </w:pPr>
      <w:r>
        <w:rPr>
          <w:sz w:val="22"/>
          <w:szCs w:val="22"/>
        </w:rPr>
        <w:t xml:space="preserve">Students will anticipate and answer the strongest argument available to the opposing side.</w:t>
      </w:r>
    </w:p>
    <w:p>
      <w:pPr>
        <w:pStyle w:val="ListParagraph"/>
        <w:keepLines/>
        <w:numPr>
          <w:ilvl w:val="0"/>
          <w:numId w:val="2"/>
        </w:numPr>
        <w:spacing w:after="60" w:line="264"/>
        <w:ind w:left="720" w:hanging="360"/>
      </w:pPr>
      <w:r>
        <w:rPr>
          <w:sz w:val="22"/>
          <w:szCs w:val="22"/>
        </w:rPr>
        <w:t xml:space="preserve">Students will judge whether a piece of evidence supports the claim it is offered for.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Each team files a written case with a claim, evidence cited from the file, and a prepared answer to the opposing side's strongest argument.</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Debaters must integrate the static water level table, the county's withdrawal figures, and the staff evidence points in the file before defending any claim about the aquifer.</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static water level, evaporative cooling, closed loop, permit condition</w:t>
      </w:r>
    </w:p>
    <w:p>
      <w:pPr>
        <w:pStyle w:val="Heading2"/>
        <w:keepNext/>
        <w:keepLines/>
      </w:pPr>
      <w:r>
        <w:rPr>
          <w:sz w:val="28"/>
          <w:szCs w:val="28"/>
        </w:rPr>
        <w:t xml:space="preserve">Teacher overview</w:t>
      </w:r>
    </w:p>
    <w:p>
      <w:pPr>
        <w:spacing w:after="100" w:line="264"/>
      </w:pPr>
      <w:r>
        <w:rPr>
          <w:sz w:val="22"/>
          <w:szCs w:val="22"/>
        </w:rPr>
        <w:t xml:space="preserve">This kit runs as a two-team policy debate with four timed rounds and a whole-class ballot, and it takes two class periods, one to build cases and one to debate. The question is whether a fictional county board should approve two production wells for a proposed data center, and it is genuinely contested because the county needs the tax base while the aquifer that would supply the wells is already declining. Neither side in the evidence file is a strawman: the affirmative can point to a cooling alternative that uses very little water and to twenty years of falling water levels, and the negative can point to a tax base that funds the county's own water projects, to a withdrawal smaller than agriculture's, and to permit conditions that could be attached instead of a refusal.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ballot-writer role for the first debate and give them a note card divided into the four rubric criteria. When they debate, provide their team's case outline with the claim written and two evidence numbers already selected, so preparation focuses on explaining the link. Allow a written speech read aloud rather than delivery from notes.</w:t>
      </w:r>
    </w:p>
    <w:p>
      <w:pPr>
        <w:pStyle w:val="Heading3"/>
        <w:keepNext/>
        <w:keepLines/>
      </w:pPr>
      <w:r>
        <w:rPr>
          <w:sz w:val="24"/>
          <w:szCs w:val="24"/>
        </w:rPr>
        <w:t xml:space="preserve">Extension</w:t>
      </w:r>
    </w:p>
    <w:p>
      <w:pPr>
        <w:spacing w:after="100" w:line="264"/>
      </w:pPr>
      <w:r>
        <w:rPr>
          <w:sz w:val="22"/>
          <w:szCs w:val="22"/>
        </w:rPr>
        <w:t xml:space="preserve">Ask these students to prepare a third position that is neither denial nor approval as proposed, such as approval with a hard seasonal cap and an escrow account funded by the company to pay for domestic well repairs. They must defend it against both teams in cross-examination and file a one-page written version afterward that names the enforcement mechanism.</w:t>
      </w:r>
    </w:p>
    <w:p>
      <w:pPr>
        <w:pStyle w:val="Heading3"/>
        <w:keepNext/>
        <w:keepLines/>
      </w:pPr>
      <w:r>
        <w:rPr>
          <w:sz w:val="24"/>
          <w:szCs w:val="24"/>
        </w:rPr>
        <w:t xml:space="preserve">ELL supports</w:t>
      </w:r>
    </w:p>
    <w:p>
      <w:pPr>
        <w:spacing w:after="100" w:line="264"/>
      </w:pPr>
      <w:r>
        <w:rPr>
          <w:sz w:val="22"/>
          <w:szCs w:val="22"/>
        </w:rPr>
        <w:t xml:space="preserve">Pre-teach aquifer, recharge, static water level, and evaporative cooling with a labeled cross-section drawing of a well field, a falling water table, and a cooling tower releasing vapor, and keep the drawing posted during the debate. Provide argument frames on a card, such as "Our strongest evidence is point ___, which shows ___" and "The other team argues ___, and that is true about ___, yet ___." Allow extra preparation time and permit a rehearsed opening delivered with a partner.</w:t>
      </w:r>
    </w:p>
    <w:p>
      <w:pPr>
        <w:pStyle w:val="Heading2"/>
        <w:keepNext/>
        <w:keepLines/>
      </w:pPr>
      <w:r>
        <w:rPr>
          <w:sz w:val="28"/>
          <w:szCs w:val="28"/>
        </w:rPr>
        <w:t xml:space="preserve">Extensions</w:t>
      </w:r>
    </w:p>
    <w:p>
      <w:pPr>
        <w:spacing w:after="100" w:line="264"/>
      </w:pPr>
      <w:r>
        <w:rPr>
          <w:sz w:val="22"/>
          <w:szCs w:val="22"/>
        </w:rPr>
        <w:t xml:space="preserve">Have students write the county board's actual decision as a one-page order that approves, denies, or conditions the permit, and require the writer to name what the decision costs and who bears it. A second option is to hold a follow-up debate on the question the first one raises, namely whether the fictional county should meter and report irrigation withdrawals on the same terms it would apply to the data center, which forces both teams to reuse their own fairness arguments from the other side of the table.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Norbeck County Approve the Data Center's Wells? A Debate Kit</w:t>
      </w:r>
    </w:p>
    <w:p>
      <w:pPr>
        <w:keepNext/>
        <w:spacing w:after="160"/>
      </w:pPr>
      <w:r>
        <w:rPr>
          <w:color w:val="5B6B70"/>
          <w:sz w:val="20"/>
          <w:szCs w:val="20"/>
        </w:rPr>
        <w:t xml:space="preserve">Grade 11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fictional Norbeck County Board should deny the permit for the two production wells proposed to serve the Halloway Ridge data center.</w:t>
      </w:r>
    </w:p>
    <w:p>
      <w:pPr>
        <w:keepNext/>
        <w:keepLines/>
        <w:spacing w:after="120" w:line="276"/>
      </w:pPr>
      <w:r>
        <w:rPr>
          <w:b/>
          <w:bCs/>
          <w:sz w:val="22"/>
          <w:szCs w:val="22"/>
        </w:rPr>
        <w:t xml:space="preserve">Background (all figures below describe the fictional Norbeck County)</w:t>
      </w:r>
    </w:p>
    <w:p>
      <w:pPr>
        <w:spacing w:after="120" w:line="276"/>
      </w:pPr>
      <w:r>
        <w:rPr>
          <w:sz w:val="22"/>
          <w:szCs w:val="22"/>
        </w:rPr>
        <w:t xml:space="preserve">Norbeck County has about 34,000 residents and draws nearly all of its water from a single sand and gravel aquifer. The county's municipal systems together withdraw about 2.4 million gallons per day. Irrigation in the county's eastern townships withdraws considerably more during the growing season.</w:t>
      </w:r>
    </w:p>
    <w:p>
      <w:pPr>
        <w:spacing w:after="120" w:line="276"/>
      </w:pPr>
      <w:r>
        <w:rPr>
          <w:sz w:val="22"/>
          <w:szCs w:val="22"/>
        </w:rPr>
        <w:t xml:space="preserve">A company has proposed a data center on Halloway Ridge and has applied for two production wells. The facility would use evaporative cooling and would withdraw up to 1.1 million gallons per day during the hottest weeks, and less at other times. Evaporative cooling loses most of that water to the air rather than returning it to the ground. A closed-loop cooling design would use very little water, yet it would consume more electricity and cost more to build, and the company has said it would reconsider the site if closed-loop cooling were required.</w:t>
      </w:r>
    </w:p>
    <w:p>
      <w:pPr>
        <w:spacing w:after="120" w:line="276"/>
      </w:pPr>
      <w:r>
        <w:rPr>
          <w:sz w:val="22"/>
          <w:szCs w:val="22"/>
        </w:rPr>
        <w:t xml:space="preserve">The county board may approve the permit, deny it, or approve it with conditions. Conditions the staff has drafted include a seasonal withdrawal limit, a requirement to fund monitoring wells, and a requirement to switch to closed-loop cooling if water levels fall past a stated depth.</w:t>
      </w:r>
    </w:p>
    <w:p>
      <w:pPr>
        <w:keepNext/>
        <w:keepLines/>
        <w:spacing w:after="120" w:line="276"/>
      </w:pPr>
      <w:r>
        <w:rPr>
          <w:b/>
          <w:bCs/>
          <w:sz w:val="22"/>
          <w:szCs w:val="22"/>
        </w:rPr>
        <w:t xml:space="preserve">Static water level, fictional Norbeck County observation well network, five-year averages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Period</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static water level (feet below ground)</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2006 to 2010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2011 to 2015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47</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2016 to 2020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53</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2021 to 2025</w:t>
            </w:r>
          </w:p>
        </w:tc>
        <w:tc>
          <w:tcPr>
            <w:tcW w:type="dxa" w:w="5040"/>
            <w:tcMar>
              <w:top w:type="dxa" w:w="70"/>
              <w:left w:type="dxa" w:w="100"/>
              <w:bottom w:type="dxa" w:w="70"/>
              <w:right w:type="dxa" w:w="100"/>
            </w:tcMar>
            <w:vAlign w:val="top"/>
          </w:tcPr>
          <w:p>
            <w:pPr>
              <w:spacing w:after="0" w:line="252"/>
              <w:jc w:val="left"/>
            </w:pPr>
            <w:r>
              <w:rPr>
                <w:sz w:val="22"/>
                <w:szCs w:val="22"/>
              </w:rPr>
              <w:t xml:space="preserve">61</w:t>
            </w:r>
          </w:p>
        </w:tc>
      </w:tr>
    </w:tbl>
    <w:p>
      <w:pPr>
        <w:spacing w:after="160" w:before="0"/>
      </w:pPr>
    </w:p>
    <w:p>
      <w:pPr>
        <w:keepNext/>
        <w:keepLines/>
        <w:spacing w:after="120" w:line="276"/>
      </w:pPr>
      <w:r>
        <w:rPr>
          <w:b/>
          <w:bCs/>
          <w:sz w:val="22"/>
          <w:szCs w:val="22"/>
        </w:rPr>
        <w:t xml:space="preserve">Roles</w:t>
      </w:r>
    </w:p>
    <w:p>
      <w:pPr>
        <w:pStyle w:val="ListParagraph"/>
        <w:keepLines/>
        <w:numPr>
          <w:ilvl w:val="0"/>
          <w:numId w:val="3"/>
        </w:numPr>
        <w:spacing w:after="60" w:line="276"/>
        <w:ind w:left="720" w:hanging="360"/>
      </w:pPr>
      <w:r>
        <w:rPr>
          <w:b/>
          <w:bCs/>
          <w:sz w:val="22"/>
          <w:szCs w:val="22"/>
        </w:rPr>
        <w:t xml:space="preserve">Affirmative team (4 to 6 students).</w:t>
      </w:r>
      <w:r>
        <w:rPr>
          <w:sz w:val="22"/>
          <w:szCs w:val="22"/>
        </w:rPr>
        <w:t xml:space="preserve"> Argues for the resolution, meaning the board should deny the permit. Files a written case before the debate with a claim, three supporting arguments, and the evidence cited for each.</w:t>
      </w:r>
    </w:p>
    <w:p>
      <w:pPr>
        <w:pStyle w:val="ListParagraph"/>
        <w:keepLines/>
        <w:numPr>
          <w:ilvl w:val="0"/>
          <w:numId w:val="3"/>
        </w:numPr>
        <w:spacing w:after="60" w:line="276"/>
        <w:ind w:left="720" w:hanging="360"/>
      </w:pPr>
      <w:r>
        <w:rPr>
          <w:b/>
          <w:bCs/>
          <w:sz w:val="22"/>
          <w:szCs w:val="22"/>
        </w:rPr>
        <w:t xml:space="preserve">Negative team (4 to 6 students).</w:t>
      </w:r>
      <w:r>
        <w:rPr>
          <w:sz w:val="22"/>
          <w:szCs w:val="22"/>
        </w:rPr>
        <w:t xml:space="preserve"> Argues against denial. May defend approval outright or approval with specific conditions, and must name the conditions if it takes that route.</w:t>
      </w:r>
    </w:p>
    <w:p>
      <w:pPr>
        <w:pStyle w:val="ListParagraph"/>
        <w:keepLines/>
        <w:numPr>
          <w:ilvl w:val="0"/>
          <w:numId w:val="3"/>
        </w:numPr>
        <w:spacing w:after="60" w:line="276"/>
        <w:ind w:left="720" w:hanging="360"/>
      </w:pPr>
      <w:r>
        <w:rPr>
          <w:b/>
          <w:bCs/>
          <w:sz w:val="22"/>
          <w:szCs w:val="22"/>
        </w:rPr>
        <w:t xml:space="preserve">Moderator (1 student).</w:t>
      </w:r>
      <w:r>
        <w:rPr>
          <w:sz w:val="22"/>
          <w:szCs w:val="22"/>
        </w:rPr>
        <w:t xml:space="preserve"> Keeps time, enforces the speaking order, and stops any speaker who introduces evidence that is not in the file.</w:t>
      </w:r>
    </w:p>
    <w:p>
      <w:pPr>
        <w:pStyle w:val="ListParagraph"/>
        <w:keepLines/>
        <w:numPr>
          <w:ilvl w:val="0"/>
          <w:numId w:val="3"/>
        </w:numPr>
        <w:spacing w:after="60" w:line="276"/>
        <w:ind w:left="720" w:hanging="360"/>
      </w:pPr>
      <w:r>
        <w:rPr>
          <w:b/>
          <w:bCs/>
          <w:sz w:val="22"/>
          <w:szCs w:val="22"/>
        </w:rPr>
        <w:t xml:space="preserve">Ballot writers (the rest of the class).</w:t>
      </w:r>
      <w:r>
        <w:rPr>
          <w:sz w:val="22"/>
          <w:szCs w:val="22"/>
        </w:rPr>
        <w:t xml:space="preserve"> Take notes on index cards and write a short ballot naming which side better answered the other's strongest argument, with one sentence of reasoning.</w:t>
      </w:r>
    </w:p>
    <w:p>
      <w:pPr>
        <w:spacing w:after="40" w:before="0" w:line="120" w:lineRule="exact"/>
      </w:pPr>
    </w:p>
    <w:p>
      <w:pPr>
        <w:spacing w:after="120" w:line="276"/>
      </w:pPr>
      <w:r>
        <w:rPr>
          <w:b/>
          <w:bCs/>
          <w:sz w:val="22"/>
          <w:szCs w:val="22"/>
        </w:rPr>
        <w:t xml:space="preserve">Format:</w:t>
      </w:r>
      <w:r>
        <w:rPr>
          <w:sz w:val="22"/>
          <w:szCs w:val="22"/>
        </w:rPr>
        <w:t xml:space="preserve"> affirmative case, 5 minutes. Negative case, 5 minutes. Preparation, 3 minutes. Negative rebuttal, 4 minutes. Affirmative rebuttal, 4 minutes. Open cross-examination, 8 minutes. Ballots and discussion, 15 minutes.</w:t>
      </w:r>
    </w:p>
    <w:p>
      <w:pPr>
        <w:pStyle w:val="Heading2"/>
        <w:keepNext/>
        <w:keepLines/>
      </w:pPr>
      <w:r>
        <w:rPr>
          <w:sz w:val="28"/>
          <w:szCs w:val="28"/>
        </w:rPr>
        <w:t xml:space="preserve">Evidence File</w:t>
      </w:r>
    </w:p>
    <w:p>
      <w:pPr>
        <w:spacing w:after="120" w:line="276"/>
      </w:pPr>
      <w:r>
        <w:rPr>
          <w:sz w:val="22"/>
          <w:szCs w:val="22"/>
        </w:rPr>
        <w:t xml:space="preserve">Every point below is available to either side, though each is grouped under the side it most obviously helps. Points marked as fictional describe the invented Norbeck County scenario, and points with a named outside source describe the world beyond it.</w:t>
      </w:r>
    </w:p>
    <w:p>
      <w:pPr>
        <w:keepNext/>
        <w:keepLines/>
        <w:spacing w:after="120" w:line="276"/>
      </w:pPr>
      <w:r>
        <w:rPr>
          <w:b/>
          <w:bCs/>
          <w:sz w:val="22"/>
          <w:szCs w:val="22"/>
        </w:rPr>
        <w:t xml:space="preserve">Case for denying the permit</w:t>
      </w:r>
    </w:p>
    <w:p>
      <w:pPr>
        <w:pStyle w:val="ListParagraph"/>
        <w:keepLines/>
        <w:numPr>
          <w:ilvl w:val="0"/>
          <w:numId w:val="4"/>
        </w:numPr>
        <w:spacing w:after="100" w:line="276"/>
        <w:ind w:left="720" w:hanging="360"/>
      </w:pPr>
      <w:r>
        <w:rPr>
          <w:sz w:val="22"/>
          <w:szCs w:val="22"/>
        </w:rPr>
        <w:t xml:space="preserve">The county's own observation wells show the average static water level falling from 42 feet below ground in the 2006 to 2010 period to 61 feet in the 2021 to 2025 period, with the decline continuing in every interval on the table. Source: fictional Norbeck County observation well network.</w:t>
      </w:r>
    </w:p>
    <w:p>
      <w:pPr>
        <w:pStyle w:val="ListParagraph"/>
        <w:keepLines/>
        <w:numPr>
          <w:ilvl w:val="0"/>
          <w:numId w:val="4"/>
        </w:numPr>
        <w:spacing w:after="100" w:line="276"/>
        <w:ind w:left="720" w:hanging="360"/>
      </w:pPr>
      <w:r>
        <w:rPr>
          <w:sz w:val="22"/>
          <w:szCs w:val="22"/>
        </w:rPr>
        <w:t xml:space="preserve">A peak withdrawal of 1.1 million gallons per day is large next to the county's municipal total of about 2.4 million gallons per day. At the commonly cited rate of 80 to 100 gallons per person per day used at home, the data center's peak draw is comparable to the household use of roughly 11,000 to 14,000 people, in a county of about 34,000. Sources: fictional county figures; USGS Water Science School for the per-person rate.</w:t>
      </w:r>
    </w:p>
    <w:p>
      <w:pPr>
        <w:pStyle w:val="ListParagraph"/>
        <w:keepLines/>
        <w:numPr>
          <w:ilvl w:val="0"/>
          <w:numId w:val="4"/>
        </w:numPr>
        <w:spacing w:after="100" w:line="276"/>
        <w:ind w:left="720" w:hanging="360"/>
      </w:pPr>
      <w:r>
        <w:rPr>
          <w:sz w:val="22"/>
          <w:szCs w:val="22"/>
        </w:rPr>
        <w:t xml:space="preserve">Evaporative cooling loses most of the water it uses to the atmosphere, so this withdrawal does not return to the aquifer the way most residential use eventually does. Source: fictional county staff description of the proposed design.</w:t>
      </w:r>
    </w:p>
    <w:p>
      <w:pPr>
        <w:pStyle w:val="ListParagraph"/>
        <w:keepLines/>
        <w:numPr>
          <w:ilvl w:val="0"/>
          <w:numId w:val="4"/>
        </w:numPr>
        <w:spacing w:after="100" w:line="276"/>
        <w:ind w:left="720" w:hanging="360"/>
      </w:pPr>
      <w:r>
        <w:rPr>
          <w:sz w:val="22"/>
          <w:szCs w:val="22"/>
        </w:rPr>
        <w:t xml:space="preserve">A cooling design that would use very little water exists and is described in the application. The affirmative can argue that denying the permit for the evaporative design is the only way the company will build the version the county can afford to supply. Source: fictional permit application summary.</w:t>
      </w:r>
    </w:p>
    <w:p>
      <w:pPr>
        <w:pStyle w:val="ListParagraph"/>
        <w:keepLines/>
        <w:numPr>
          <w:ilvl w:val="0"/>
          <w:numId w:val="4"/>
        </w:numPr>
        <w:spacing w:after="100" w:line="276"/>
        <w:ind w:left="720" w:hanging="360"/>
      </w:pPr>
      <w:r>
        <w:rPr>
          <w:sz w:val="22"/>
          <w:szCs w:val="22"/>
        </w:rPr>
        <w:t xml:space="preserve">The board sets a precedent either way. Approving a large industrial withdrawal while the county asks households to conserve during dry summers is difficult to defend at the next hearing. Source: fictional county board hearing record.</w:t>
      </w:r>
    </w:p>
    <w:p>
      <w:pPr>
        <w:pStyle w:val="ListParagraph"/>
        <w:keepLines/>
        <w:numPr>
          <w:ilvl w:val="0"/>
          <w:numId w:val="4"/>
        </w:numPr>
        <w:spacing w:after="100" w:line="276"/>
        <w:ind w:left="720" w:hanging="360"/>
      </w:pPr>
      <w:r>
        <w:rPr>
          <w:sz w:val="22"/>
          <w:szCs w:val="22"/>
        </w:rPr>
        <w:t xml:space="preserve">Conditions are only as good as their enforcement, and the fictional county has two staff members for all water permits. A condition requiring a switch to closed-loop cooling would arrive years after construction, when the plant is built and the leverage is gone. Source: fictional county staff testimony.</w:t>
      </w:r>
    </w:p>
    <w:p>
      <w:pPr>
        <w:spacing w:after="40" w:before="0" w:line="120" w:lineRule="exact"/>
      </w:pPr>
    </w:p>
    <w:p>
      <w:pPr>
        <w:keepNext/>
        <w:keepLines/>
        <w:spacing w:after="120" w:line="276"/>
      </w:pPr>
      <w:r>
        <w:rPr>
          <w:b/>
          <w:bCs/>
          <w:sz w:val="22"/>
          <w:szCs w:val="22"/>
        </w:rPr>
        <w:t xml:space="preserve">Case against denying the permit</w:t>
      </w:r>
    </w:p>
    <w:p>
      <w:pPr>
        <w:pStyle w:val="ListParagraph"/>
        <w:keepLines/>
        <w:numPr>
          <w:ilvl w:val="0"/>
          <w:numId w:val="5"/>
        </w:numPr>
        <w:spacing w:after="100" w:line="276"/>
        <w:ind w:left="720" w:hanging="360"/>
      </w:pPr>
      <w:r>
        <w:rPr>
          <w:sz w:val="22"/>
          <w:szCs w:val="22"/>
        </w:rPr>
        <w:t xml:space="preserve">The facility would add an estimated $2.9 million a year to the county's tax base, which the fictional county's own capital plan lists as the funding source for two municipal well replacements and a water main project in the county seat. Denial has a water cost of its own. Source: fictional Norbeck County capital plan.</w:t>
      </w:r>
    </w:p>
    <w:p>
      <w:pPr>
        <w:pStyle w:val="ListParagraph"/>
        <w:keepLines/>
        <w:numPr>
          <w:ilvl w:val="0"/>
          <w:numId w:val="5"/>
        </w:numPr>
        <w:spacing w:after="100" w:line="276"/>
        <w:ind w:left="720" w:hanging="360"/>
      </w:pPr>
      <w:r>
        <w:rPr>
          <w:sz w:val="22"/>
          <w:szCs w:val="22"/>
        </w:rPr>
        <w:t xml:space="preserve">Agriculture accounts for roughly 70 percent of global freshwater withdrawals, and irrigation in the county's eastern townships already withdraws considerably more than the proposed wells would. The negative can argue that denying one industrial permit addresses a small share of the demand while leaving the largest share untouched. Sources: FAO and UN Water for the global share; fictional county figures for local irrigation.</w:t>
      </w:r>
    </w:p>
    <w:p>
      <w:pPr>
        <w:pStyle w:val="ListParagraph"/>
        <w:keepLines/>
        <w:numPr>
          <w:ilvl w:val="0"/>
          <w:numId w:val="5"/>
        </w:numPr>
        <w:spacing w:after="100" w:line="276"/>
        <w:ind w:left="720" w:hanging="360"/>
      </w:pPr>
      <w:r>
        <w:rPr>
          <w:sz w:val="22"/>
          <w:szCs w:val="22"/>
        </w:rPr>
        <w:t xml:space="preserve">The board has a middle option. Staff has drafted conditions including a seasonal withdrawal limit, company-funded monitoring wells, and a mandatory switch to closed-loop cooling if levels fall past a stated depth, which addresses the decline without refusing the project. Source: fictional county staff draft conditions.</w:t>
      </w:r>
    </w:p>
    <w:p>
      <w:pPr>
        <w:pStyle w:val="ListParagraph"/>
        <w:keepLines/>
        <w:numPr>
          <w:ilvl w:val="0"/>
          <w:numId w:val="5"/>
        </w:numPr>
        <w:spacing w:after="100" w:line="276"/>
        <w:ind w:left="720" w:hanging="360"/>
      </w:pPr>
      <w:r>
        <w:rPr>
          <w:sz w:val="22"/>
          <w:szCs w:val="22"/>
        </w:rPr>
        <w:t xml:space="preserve">Company-funded monitoring wells would give the county a better picture of the aquifer than it has now, since the fictional observation network is small and averages mask differences between townships. Source: fictional county staff testimony.</w:t>
      </w:r>
    </w:p>
    <w:p>
      <w:pPr>
        <w:pStyle w:val="ListParagraph"/>
        <w:keepLines/>
        <w:numPr>
          <w:ilvl w:val="0"/>
          <w:numId w:val="5"/>
        </w:numPr>
        <w:spacing w:after="100" w:line="276"/>
        <w:ind w:left="720" w:hanging="360"/>
      </w:pPr>
      <w:r>
        <w:rPr>
          <w:sz w:val="22"/>
          <w:szCs w:val="22"/>
        </w:rPr>
        <w:t xml:space="preserve">The declining water level in the table has not been separated into its causes. Irrigation, drought years, and pumping outside the county boundary could each contribute, and the county has published no analysis attributing the decline. Source: fictional county observation well network and staff note.</w:t>
      </w:r>
    </w:p>
    <w:p>
      <w:pPr>
        <w:pStyle w:val="ListParagraph"/>
        <w:keepLines/>
        <w:numPr>
          <w:ilvl w:val="0"/>
          <w:numId w:val="5"/>
        </w:numPr>
        <w:spacing w:after="100" w:line="276"/>
        <w:ind w:left="720" w:hanging="360"/>
      </w:pPr>
      <w:r>
        <w:rPr>
          <w:sz w:val="22"/>
          <w:szCs w:val="22"/>
        </w:rPr>
        <w:t xml:space="preserve">The company has said it would reconsider the site if closed-loop cooling were required, so a denial is likely to move the facility rather than change how it is cooled. Source: fictional permit application correspondence.</w:t>
      </w:r>
    </w:p>
    <w:p>
      <w:pPr>
        <w:spacing w:after="40" w:before="0" w:line="120" w:lineRule="exact"/>
      </w:pPr>
    </w:p>
    <w:p>
      <w:pPr>
        <w:keepNext/>
        <w:keepLines/>
        <w:spacing w:after="120" w:line="276"/>
      </w:pPr>
      <w:r>
        <w:rPr>
          <w:b/>
          <w:bCs/>
          <w:sz w:val="22"/>
          <w:szCs w:val="22"/>
        </w:rPr>
        <w:t xml:space="preserve">Questions each side should prepare to answer</w:t>
      </w:r>
    </w:p>
    <w:p>
      <w:pPr>
        <w:pStyle w:val="ListParagraph"/>
        <w:keepNext/>
        <w:keepLines/>
        <w:numPr>
          <w:ilvl w:val="0"/>
          <w:numId w:val="6"/>
        </w:numPr>
        <w:spacing w:after="60" w:line="276"/>
        <w:ind w:left="720" w:hanging="360"/>
      </w:pPr>
      <w:r>
        <w:rPr>
          <w:sz w:val="22"/>
          <w:szCs w:val="22"/>
        </w:rPr>
        <w:t xml:space="preserve">Affirmative: what does the county do about the well replacements its capital plan expects this tax revenue to fund?</w:t>
      </w:r>
    </w:p>
    <w:p>
      <w:pPr>
        <w:pStyle w:val="ListParagraph"/>
        <w:keepNext/>
        <w:keepLines/>
        <w:numPr>
          <w:ilvl w:val="0"/>
          <w:numId w:val="6"/>
        </w:numPr>
        <w:spacing w:after="60" w:line="276"/>
        <w:ind w:left="720" w:hanging="360"/>
      </w:pPr>
      <w:r>
        <w:rPr>
          <w:sz w:val="22"/>
          <w:szCs w:val="22"/>
        </w:rPr>
        <w:t xml:space="preserve">Affirmative: why deny an industrial withdrawal smaller than the county's irrigation use?</w:t>
      </w:r>
    </w:p>
    <w:p>
      <w:pPr>
        <w:pStyle w:val="ListParagraph"/>
        <w:keepNext/>
        <w:keepLines/>
        <w:numPr>
          <w:ilvl w:val="0"/>
          <w:numId w:val="6"/>
        </w:numPr>
        <w:spacing w:after="60" w:line="276"/>
        <w:ind w:left="720" w:hanging="360"/>
      </w:pPr>
      <w:r>
        <w:rPr>
          <w:sz w:val="22"/>
          <w:szCs w:val="22"/>
        </w:rPr>
        <w:t xml:space="preserve">Negative: what happens if levels fall past the stated depth and the company appeals the required switch?</w:t>
      </w:r>
    </w:p>
    <w:p>
      <w:pPr>
        <w:pStyle w:val="ListParagraph"/>
        <w:keepLines/>
        <w:numPr>
          <w:ilvl w:val="0"/>
          <w:numId w:val="6"/>
        </w:numPr>
        <w:spacing w:after="60" w:line="276"/>
        <w:ind w:left="720" w:hanging="360"/>
      </w:pPr>
      <w:r>
        <w:rPr>
          <w:sz w:val="22"/>
          <w:szCs w:val="22"/>
        </w:rPr>
        <w:t xml:space="preserve">Negative: how does approval square with asking households to conserve in dry summers?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Norbeck County Approve the Data Center's Wells? A Debate Kit</w:t>
      </w:r>
    </w:p>
    <w:p>
      <w:pPr>
        <w:keepNext/>
        <w:spacing w:after="160"/>
      </w:pPr>
      <w:r>
        <w:rPr>
          <w:color w:val="5B6B70"/>
          <w:sz w:val="20"/>
          <w:szCs w:val="20"/>
        </w:rPr>
        <w:t xml:space="preserve">Debate kit · Grade 11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974"/>
        <w:gridCol w:w="2779"/>
        <w:gridCol w:w="3128"/>
        <w:gridCol w:w="329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974"/>
            <w:tcMar>
              <w:top w:type="dxa" w:w="70"/>
              <w:left w:type="dxa" w:w="100"/>
              <w:bottom w:type="dxa" w:w="70"/>
              <w:right w:type="dxa" w:w="100"/>
            </w:tcMar>
            <w:vAlign w:val="top"/>
          </w:tcPr>
          <w:p>
            <w:pPr>
              <w:keepNext/>
              <w:spacing w:after="0" w:line="252"/>
              <w:jc w:val="left"/>
            </w:pPr>
            <w:r>
              <w:rPr>
                <w:sz w:val="20"/>
                <w:szCs w:val="20"/>
              </w:rPr>
              <w:t xml:space="preserve">Asserts claims without citing the file, or cites a point that does not support the claim.</w:t>
            </w:r>
          </w:p>
        </w:tc>
        <w:tc>
          <w:tcPr>
            <w:tcW w:type="dxa" w:w="2779"/>
            <w:tcMar>
              <w:top w:type="dxa" w:w="70"/>
              <w:left w:type="dxa" w:w="100"/>
              <w:bottom w:type="dxa" w:w="70"/>
              <w:right w:type="dxa" w:w="100"/>
            </w:tcMar>
            <w:vAlign w:val="top"/>
          </w:tcPr>
          <w:p>
            <w:pPr>
              <w:keepNext/>
              <w:spacing w:after="0" w:line="252"/>
              <w:jc w:val="left"/>
            </w:pPr>
            <w:r>
              <w:rPr>
                <w:sz w:val="20"/>
                <w:szCs w:val="20"/>
              </w:rPr>
              <w:t xml:space="preserve">Cites the file occasionally, leaving the connection to the claim implicit.</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Cites specific points accurately and explains how each supports the claim.</w:t>
            </w:r>
          </w:p>
        </w:tc>
        <w:tc>
          <w:tcPr>
            <w:tcW w:type="dxa" w:w="3291"/>
            <w:tcMar>
              <w:top w:type="dxa" w:w="70"/>
              <w:left w:type="dxa" w:w="100"/>
              <w:bottom w:type="dxa" w:w="70"/>
              <w:right w:type="dxa" w:w="100"/>
            </w:tcMar>
            <w:vAlign w:val="top"/>
          </w:tcPr>
          <w:p>
            <w:pPr>
              <w:keepNext/>
              <w:spacing w:after="0" w:line="252"/>
              <w:jc w:val="left"/>
            </w:pPr>
            <w:r>
              <w:rPr>
                <w:sz w:val="20"/>
                <w:szCs w:val="20"/>
              </w:rPr>
              <w:t xml:space="preserve">Cites accurately, explains the link, and states what a piece of evidence cannot show.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974"/>
            <w:tcMar>
              <w:top w:type="dxa" w:w="70"/>
              <w:left w:type="dxa" w:w="100"/>
              <w:bottom w:type="dxa" w:w="70"/>
              <w:right w:type="dxa" w:w="100"/>
            </w:tcMar>
            <w:vAlign w:val="top"/>
          </w:tcPr>
          <w:p>
            <w:pPr>
              <w:keepNext/>
              <w:spacing w:after="0" w:line="252"/>
              <w:jc w:val="left"/>
            </w:pPr>
            <w:r>
              <w:rPr>
                <w:sz w:val="20"/>
                <w:szCs w:val="20"/>
              </w:rPr>
              <w:t xml:space="preserve">Repeats the team's own case instead of answering the opponent.</w:t>
            </w:r>
          </w:p>
        </w:tc>
        <w:tc>
          <w:tcPr>
            <w:tcW w:type="dxa" w:w="2779"/>
            <w:tcMar>
              <w:top w:type="dxa" w:w="70"/>
              <w:left w:type="dxa" w:w="100"/>
              <w:bottom w:type="dxa" w:w="70"/>
              <w:right w:type="dxa" w:w="100"/>
            </w:tcMar>
            <w:vAlign w:val="top"/>
          </w:tcPr>
          <w:p>
            <w:pPr>
              <w:keepNext/>
              <w:spacing w:after="0" w:line="252"/>
              <w:jc w:val="left"/>
            </w:pPr>
            <w:r>
              <w:rPr>
                <w:sz w:val="20"/>
                <w:szCs w:val="20"/>
              </w:rPr>
              <w:t xml:space="preserve">Names the opposing argument but answers a weaker version of it.</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Answers the opponent's actual argument with evidence or reasoning.</w:t>
            </w:r>
          </w:p>
        </w:tc>
        <w:tc>
          <w:tcPr>
            <w:tcW w:type="dxa" w:w="3291"/>
            <w:tcMar>
              <w:top w:type="dxa" w:w="70"/>
              <w:left w:type="dxa" w:w="100"/>
              <w:bottom w:type="dxa" w:w="70"/>
              <w:right w:type="dxa" w:w="100"/>
            </w:tcMar>
            <w:vAlign w:val="top"/>
          </w:tcPr>
          <w:p>
            <w:pPr>
              <w:keepNext/>
              <w:spacing w:after="0" w:line="252"/>
              <w:jc w:val="left"/>
            </w:pPr>
            <w:r>
              <w:rPr>
                <w:sz w:val="20"/>
                <w:szCs w:val="20"/>
              </w:rPr>
              <w:t xml:space="preserve">Answers the strongest version, concedes what is true in it, and shows why the rest does not decide the question.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 about policy</w:t>
            </w:r>
          </w:p>
        </w:tc>
        <w:tc>
          <w:tcPr>
            <w:tcW w:type="dxa" w:w="2974"/>
            <w:tcMar>
              <w:top w:type="dxa" w:w="70"/>
              <w:left w:type="dxa" w:w="100"/>
              <w:bottom w:type="dxa" w:w="70"/>
              <w:right w:type="dxa" w:w="100"/>
            </w:tcMar>
            <w:vAlign w:val="top"/>
          </w:tcPr>
          <w:p>
            <w:pPr>
              <w:keepNext/>
              <w:spacing w:after="0" w:line="252"/>
              <w:jc w:val="left"/>
            </w:pPr>
            <w:r>
              <w:rPr>
                <w:sz w:val="20"/>
                <w:szCs w:val="20"/>
              </w:rPr>
              <w:t xml:space="preserve">Treats the resolution as a general attitude toward business or conservation.</w:t>
            </w:r>
          </w:p>
        </w:tc>
        <w:tc>
          <w:tcPr>
            <w:tcW w:type="dxa" w:w="2779"/>
            <w:tcMar>
              <w:top w:type="dxa" w:w="70"/>
              <w:left w:type="dxa" w:w="100"/>
              <w:bottom w:type="dxa" w:w="70"/>
              <w:right w:type="dxa" w:w="100"/>
            </w:tcMar>
            <w:vAlign w:val="top"/>
          </w:tcPr>
          <w:p>
            <w:pPr>
              <w:keepNext/>
              <w:spacing w:after="0" w:line="252"/>
              <w:jc w:val="left"/>
            </w:pPr>
            <w:r>
              <w:rPr>
                <w:sz w:val="20"/>
                <w:szCs w:val="20"/>
              </w:rPr>
              <w:t xml:space="preserve">Argues about the goal without addressing the mechanism before the board.</w:t>
            </w:r>
          </w:p>
        </w:tc>
        <w:tc>
          <w:tcPr>
            <w:tcW w:type="dxa" w:w="3128"/>
            <w:tcMar>
              <w:top w:type="dxa" w:w="70"/>
              <w:left w:type="dxa" w:w="100"/>
              <w:bottom w:type="dxa" w:w="70"/>
              <w:right w:type="dxa" w:w="100"/>
            </w:tcMar>
            <w:vAlign w:val="top"/>
          </w:tcPr>
          <w:p>
            <w:pPr>
              <w:keepNext/>
              <w:spacing w:after="0" w:line="252"/>
              <w:jc w:val="left"/>
            </w:pPr>
            <w:r>
              <w:rPr>
                <w:sz w:val="20"/>
                <w:szCs w:val="20"/>
              </w:rPr>
              <w:t xml:space="preserve">Argues about the specific decision, including conditions, enforcement, and who bears the cost.</w:t>
            </w:r>
          </w:p>
        </w:tc>
        <w:tc>
          <w:tcPr>
            <w:tcW w:type="dxa" w:w="3291"/>
            <w:tcMar>
              <w:top w:type="dxa" w:w="70"/>
              <w:left w:type="dxa" w:w="100"/>
              <w:bottom w:type="dxa" w:w="70"/>
              <w:right w:type="dxa" w:w="100"/>
            </w:tcMar>
            <w:vAlign w:val="top"/>
          </w:tcPr>
          <w:p>
            <w:pPr>
              <w:keepNext/>
              <w:spacing w:after="0" w:line="252"/>
              <w:jc w:val="left"/>
            </w:pPr>
            <w:r>
              <w:rPr>
                <w:sz w:val="20"/>
                <w:szCs w:val="20"/>
              </w:rPr>
              <w:t xml:space="preserve">Argues about the mechanism and anticipates a consequence the file does not state, reasoning from what it does.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2974"/>
            <w:tcMar>
              <w:top w:type="dxa" w:w="70"/>
              <w:left w:type="dxa" w:w="100"/>
              <w:bottom w:type="dxa" w:w="70"/>
              <w:right w:type="dxa" w:w="100"/>
            </w:tcMar>
            <w:vAlign w:val="top"/>
          </w:tcPr>
          <w:p>
            <w:pPr>
              <w:spacing w:after="0" w:line="252"/>
              <w:jc w:val="left"/>
            </w:pPr>
            <w:r>
              <w:rPr>
                <w:sz w:val="20"/>
                <w:szCs w:val="20"/>
              </w:rPr>
              <w:t xml:space="preserve">Speech is hard to follow; time is not used.</w:t>
            </w:r>
          </w:p>
        </w:tc>
        <w:tc>
          <w:tcPr>
            <w:tcW w:type="dxa" w:w="2779"/>
            <w:tcMar>
              <w:top w:type="dxa" w:w="70"/>
              <w:left w:type="dxa" w:w="100"/>
              <w:bottom w:type="dxa" w:w="70"/>
              <w:right w:type="dxa" w:w="100"/>
            </w:tcMar>
            <w:vAlign w:val="top"/>
          </w:tcPr>
          <w:p>
            <w:pPr>
              <w:spacing w:after="0" w:line="252"/>
              <w:jc w:val="left"/>
            </w:pPr>
            <w:r>
              <w:rPr>
                <w:sz w:val="20"/>
                <w:szCs w:val="20"/>
              </w:rPr>
              <w:t xml:space="preserve">Structure is visible but rounds run over or end early.</w:t>
            </w:r>
          </w:p>
        </w:tc>
        <w:tc>
          <w:tcPr>
            <w:tcW w:type="dxa" w:w="3128"/>
            <w:tcMar>
              <w:top w:type="dxa" w:w="70"/>
              <w:left w:type="dxa" w:w="100"/>
              <w:bottom w:type="dxa" w:w="70"/>
              <w:right w:type="dxa" w:w="100"/>
            </w:tcMar>
            <w:vAlign w:val="top"/>
          </w:tcPr>
          <w:p>
            <w:pPr>
              <w:spacing w:after="0" w:line="252"/>
              <w:jc w:val="left"/>
            </w:pPr>
            <w:r>
              <w:rPr>
                <w:sz w:val="20"/>
                <w:szCs w:val="20"/>
              </w:rPr>
              <w:t xml:space="preserve">Speeches are organized, signposted, and within time.</w:t>
            </w:r>
          </w:p>
        </w:tc>
        <w:tc>
          <w:tcPr>
            <w:tcW w:type="dxa" w:w="3291"/>
            <w:tcMar>
              <w:top w:type="dxa" w:w="70"/>
              <w:left w:type="dxa" w:w="100"/>
              <w:bottom w:type="dxa" w:w="70"/>
              <w:right w:type="dxa" w:w="100"/>
            </w:tcMar>
            <w:vAlign w:val="top"/>
          </w:tcPr>
          <w:p>
            <w:pPr>
              <w:spacing w:after="0" w:line="252"/>
              <w:jc w:val="left"/>
            </w:pPr>
            <w:r>
              <w:rPr>
                <w:sz w:val="20"/>
                <w:szCs w:val="20"/>
              </w:rPr>
              <w:t xml:space="preserve">Organization makes the argument easier to judge, and cross-examination questions are built to expose a weakness the ballot writers can weigh.</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 w:numId="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Norbeck County Approve the Data Center's Wells? A Debate Kit</dc:title>
  <dc:subject>Debate kit · Grade 11 · English Language Arts</dc:subject>
  <dc:creator>Water for Schools</dc:creator>
  <cp:keywords>Debate kit, Grade 11, English Language Arts</cp:keywords>
  <dc:description>A grade 11 debate kit on a fictional county's decision about groundwater withdrawals for a data center, with two-sided evidence, roles, and a rubric.</dc:description>
  <cp:lastModifiedBy>Water for Schools</cp:lastModifiedBy>
  <cp:revision>1</cp:revision>
  <dcterms:created xsi:type="dcterms:W3CDTF">2026-10-19T16:28:55.627Z</dcterms:created>
  <dcterms:modified xsi:type="dcterms:W3CDTF">2026-10-19T16:28:55.627Z</dcterms:modified>
</cp:coreProperties>
</file>

<file path=docProps/custom.xml><?xml version="1.0" encoding="utf-8"?>
<Properties xmlns="http://schemas.openxmlformats.org/officeDocument/2006/custom-properties" xmlns:vt="http://schemas.openxmlformats.org/officeDocument/2006/docPropsVTypes"/>
</file>