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Public Comment on the Thurloe Marsh Concentrate Permit</w:t>
      </w:r>
    </w:p>
    <w:p>
      <w:pPr>
        <w:keepNext/>
        <w:spacing w:after="160"/>
      </w:pPr>
      <w:r>
        <w:rPr>
          <w:color w:val="5B6B70"/>
          <w:sz w:val="20"/>
          <w:szCs w:val="20"/>
        </w:rPr>
        <w:t xml:space="preserve">Project · Grade 11 · English Language Arts</w:t>
      </w:r>
    </w:p>
    <w:p>
      <w:pPr>
        <w:spacing w:after="100" w:line="264"/>
      </w:pPr>
      <w:r>
        <w:rPr>
          <w:i/>
          <w:iCs/>
          <w:color w:val="12333F"/>
          <w:sz w:val="22"/>
          <w:szCs w:val="22"/>
        </w:rPr>
        <w:t xml:space="preserve">A four-session grade 11 ELA project in which students write a formal comment letter on a draft discharge permit, plus a plain-language version for neighbors.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permit packet for each student (Documents 1 to 5 in the Project Brief, with page labels)</w:t>
            </w:r>
          </w:p>
          <w:p>
            <w:pPr>
              <w:spacing w:after="0"/>
            </w:pPr>
            <w:r>
              <w:rPr>
                <w:sz w:val="20"/>
                <w:szCs w:val="20"/>
              </w:rPr>
              <w:t xml:space="preserve">• Computer access for drafting</w:t>
            </w:r>
          </w:p>
          <w:p>
            <w:pPr>
              <w:spacing w:after="0"/>
            </w:pPr>
            <w:r>
              <w:rPr>
                <w:sz w:val="20"/>
                <w:szCs w:val="20"/>
              </w:rPr>
              <w:t xml:space="preserve">• Timer for the comment-reading session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formal comment that cites the record rather than stating an opinion.</w:t>
      </w:r>
    </w:p>
    <w:p>
      <w:pPr>
        <w:pStyle w:val="ListParagraph"/>
        <w:keepNext/>
        <w:keepLines/>
        <w:numPr>
          <w:ilvl w:val="0"/>
          <w:numId w:val="2"/>
        </w:numPr>
        <w:spacing w:after="60" w:line="264"/>
        <w:ind w:left="720" w:hanging="360"/>
      </w:pPr>
      <w:r>
        <w:rPr>
          <w:sz w:val="22"/>
          <w:szCs w:val="22"/>
        </w:rPr>
        <w:t xml:space="preserve">Students will propose replacement permit language that would fix the problem they identify.</w:t>
      </w:r>
    </w:p>
    <w:p>
      <w:pPr>
        <w:pStyle w:val="ListParagraph"/>
        <w:keepLines/>
        <w:numPr>
          <w:ilvl w:val="0"/>
          <w:numId w:val="2"/>
        </w:numPr>
        <w:spacing w:after="60" w:line="264"/>
        <w:ind w:left="720" w:hanging="360"/>
      </w:pPr>
      <w:r>
        <w:rPr>
          <w:sz w:val="22"/>
          <w:szCs w:val="22"/>
        </w:rPr>
        <w:t xml:space="preserve">Students will rewrite the same argument for neighbors without losing its accuracy.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comment letter must state a claim about one permit condition, support it from the record, propose replacement language, and answer the agency's strongest likely response.</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In the Milestone 2 evidence sheet, students must draw on the draft permit text (Document 1), the salinity monitoring table (Document 3), and the marsh survey summary (Document 4) together, since no single one of the three settles the question the letter raises.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concentrate, discharge permit, concentration limit, mass limit, public comment, responsiveness summary</w:t>
      </w:r>
    </w:p>
    <w:p>
      <w:pPr>
        <w:pStyle w:val="Heading2"/>
        <w:keepNext/>
        <w:keepLines/>
      </w:pPr>
      <w:r>
        <w:rPr>
          <w:sz w:val="28"/>
          <w:szCs w:val="28"/>
        </w:rPr>
        <w:t xml:space="preserve">Teacher overview</w:t>
      </w:r>
    </w:p>
    <w:p>
      <w:pPr>
        <w:spacing w:after="100" w:line="264"/>
      </w:pPr>
      <w:r>
        <w:rPr>
          <w:sz w:val="22"/>
          <w:szCs w:val="22"/>
        </w:rPr>
        <w:t xml:space="preserve">The driving question is what a comment on a draft permit has to do in order to change it. Students read a short permit packet about a brackish groundwater plant that would discharge its concentrate to a tidal marsh, then write a formal comment letter, a plain-language version for neighbors, and a page predicting the agency's reply. The teaching note that shapes the whole project is a misreading that adults make as often as students do: a permit limit is widely assumed to cap the total amount of a substance a facility may release, when many limits are written as a concentration, so a facility can meet the limit by adding water to the discharge while releasing the same mass. Students who miss that distinction write comments that ask for a stricter number without asking whether the number measures the right thing.</w:t>
      </w:r>
    </w:p>
    <w:p>
      <w:pPr>
        <w:spacing w:after="100" w:line="264"/>
      </w:pPr>
      <w:r>
        <w:rPr>
          <w:sz w:val="22"/>
          <w:szCs w:val="22"/>
        </w:rPr>
        <w:t xml:space="preserve">The full five-document packet is printed at the end of the Project Brief. Print each document separately, keeping its page labels, so that students can cite it by document and page. A teacher reference after the rubric shows where the record speaks to each of the five permit conditions.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 monitoring frequency condition (Condition 2), which is the most concrete of the five, and supply the evidence sheet with three of the six citations already entered: Document 1, page 2; Document 3, page 1; and Document 3, page 2. Reduce the formal comment to 450 to 600 words. Provide a two-paragraph model comment on an unrelated permit so the form is visible before the content is added.</w:t>
      </w:r>
    </w:p>
    <w:p>
      <w:pPr>
        <w:pStyle w:val="Heading3"/>
        <w:keepNext/>
        <w:keepLines/>
      </w:pPr>
      <w:r>
        <w:rPr>
          <w:sz w:val="24"/>
          <w:szCs w:val="24"/>
        </w:rPr>
        <w:t xml:space="preserve">Extension</w:t>
      </w:r>
    </w:p>
    <w:p>
      <w:pPr>
        <w:spacing w:after="100" w:line="264"/>
      </w:pPr>
      <w:r>
        <w:rPr>
          <w:sz w:val="22"/>
          <w:szCs w:val="22"/>
        </w:rPr>
        <w:t xml:space="preserve">Ask these students to write the agency's responsiveness summary for their own comment, in the agency's voice, and then to revise the comment so that the summary they wrote would no longer be possible. The revision note must name the sentence that made the original easy to dismiss.</w:t>
      </w:r>
    </w:p>
    <w:p>
      <w:pPr>
        <w:pStyle w:val="Heading3"/>
        <w:keepNext/>
        <w:keepLines/>
      </w:pPr>
      <w:r>
        <w:rPr>
          <w:sz w:val="24"/>
          <w:szCs w:val="24"/>
        </w:rPr>
        <w:t xml:space="preserve">ELL supports</w:t>
      </w:r>
    </w:p>
    <w:p>
      <w:pPr>
        <w:spacing w:after="100" w:line="264"/>
      </w:pPr>
      <w:r>
        <w:rPr>
          <w:sz w:val="22"/>
          <w:szCs w:val="22"/>
        </w:rPr>
        <w:t xml:space="preserve">Pre-teach "concentrate," "outfall," "grab sample," "mixing zone," and "condition" with a labeled sketch showing source water entering a membrane and two streams leaving it. Provide a citation frame such as "Document 3, page 2, shows that." Allow the reading note in session 1 to be a labeled list, and permit the neighbor version to be drafted first, since it is the shorter of the two.</w:t>
      </w:r>
    </w:p>
    <w:p>
      <w:pPr>
        <w:pStyle w:val="Heading2"/>
        <w:keepNext/>
        <w:keepLines/>
      </w:pPr>
      <w:r>
        <w:rPr>
          <w:sz w:val="28"/>
          <w:szCs w:val="28"/>
        </w:rPr>
        <w:t xml:space="preserve">Extensions</w:t>
      </w:r>
    </w:p>
    <w:p>
      <w:pPr>
        <w:spacing w:after="100" w:line="264"/>
      </w:pPr>
      <w:r>
        <w:rPr>
          <w:sz w:val="22"/>
          <w:szCs w:val="22"/>
        </w:rPr>
        <w:t xml:space="preserve">Have the class compare its three selected comments with the public notice in Document 5 and write a single page on what the notice tells a reader about which comments the agency must answer. Then ask students to find the comment period notice for a real permit in their own state, read the submission instructions, and list the three requirements their class comments would have failed.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Public Comment on the Thurloe Marsh Concentrate Permit</w:t>
      </w:r>
    </w:p>
    <w:p>
      <w:pPr>
        <w:keepNext/>
        <w:spacing w:after="160"/>
      </w:pPr>
      <w:r>
        <w:rPr>
          <w:color w:val="5B6B70"/>
          <w:sz w:val="20"/>
          <w:szCs w:val="20"/>
        </w:rPr>
        <w:t xml:space="preserve">Grade 11 · English Language Arts</w:t>
      </w:r>
    </w:p>
    <w:p>
      <w:pPr>
        <w:pStyle w:val="Heading2"/>
        <w:keepNext/>
        <w:keepLines/>
      </w:pPr>
      <w:r>
        <w:rPr>
          <w:sz w:val="28"/>
          <w:szCs w:val="28"/>
        </w:rPr>
        <w:t xml:space="preserve">Project Brief</w:t>
      </w:r>
    </w:p>
    <w:p>
      <w:pPr>
        <w:keepNext/>
        <w:keepLines/>
        <w:spacing w:after="120" w:line="276"/>
      </w:pPr>
      <w:r>
        <w:rPr>
          <w:b/>
          <w:bCs/>
          <w:sz w:val="22"/>
          <w:szCs w:val="22"/>
        </w:rPr>
        <w:t xml:space="preserve">Driving question</w:t>
      </w:r>
    </w:p>
    <w:p>
      <w:pPr>
        <w:spacing w:after="120" w:line="276"/>
      </w:pPr>
      <w:r>
        <w:rPr>
          <w:sz w:val="22"/>
          <w:szCs w:val="22"/>
        </w:rPr>
        <w:t xml:space="preserve">What does a public comment have to do to change a permit?</w:t>
      </w:r>
    </w:p>
    <w:p>
      <w:pPr>
        <w:keepNext/>
        <w:keepLines/>
        <w:spacing w:after="120" w:line="276"/>
      </w:pPr>
      <w:r>
        <w:rPr>
          <w:b/>
          <w:bCs/>
          <w:sz w:val="22"/>
          <w:szCs w:val="22"/>
        </w:rPr>
        <w:t xml:space="preserve">Scenario and packet</w:t>
      </w:r>
    </w:p>
    <w:p>
      <w:pPr>
        <w:spacing w:after="120" w:line="276"/>
      </w:pPr>
      <w:r>
        <w:rPr>
          <w:sz w:val="22"/>
          <w:szCs w:val="22"/>
        </w:rPr>
        <w:t xml:space="preserve">Nantwyck, the Thurloe Marsh, the state agency, and every figure below are fictional and were written for this project. Nantwyck is a city of about sixty thousand people on a tidal river. Its water is brackish, so the utility runs a reverse osmosis plant that pushes source water through membranes and produces two streams. One stream is drinking water. The other, called concentrate, holds the salts left behind and is saltier than the water the plant started with.</w:t>
      </w:r>
    </w:p>
    <w:p>
      <w:pPr>
        <w:spacing w:after="120" w:line="276"/>
      </w:pPr>
      <w:r>
        <w:rPr>
          <w:sz w:val="22"/>
          <w:szCs w:val="22"/>
        </w:rPr>
        <w:t xml:space="preserve">The draft permit would allow the plant to discharge concentrate into Ferrel Channel at the edge of Thurloe Marsh. Your packet holds five documents, printed in full under "Permit packet" below. Every page is labeled, so cite the packet in the form "Document 3, page 2."</w:t>
      </w:r>
    </w:p>
    <w:p>
      <w:pPr>
        <w:pStyle w:val="ListParagraph"/>
        <w:keepNext/>
        <w:keepLines/>
        <w:numPr>
          <w:ilvl w:val="0"/>
          <w:numId w:val="3"/>
        </w:numPr>
        <w:spacing w:after="60" w:line="276"/>
        <w:ind w:left="720" w:hanging="360"/>
      </w:pPr>
      <w:r>
        <w:rPr>
          <w:sz w:val="22"/>
          <w:szCs w:val="22"/>
        </w:rPr>
        <w:t xml:space="preserve">Document 1. The draft permit, four pages, including the five permit conditions you will choose from.</w:t>
      </w:r>
    </w:p>
    <w:p>
      <w:pPr>
        <w:pStyle w:val="ListParagraph"/>
        <w:keepNext/>
        <w:keepLines/>
        <w:numPr>
          <w:ilvl w:val="0"/>
          <w:numId w:val="3"/>
        </w:numPr>
        <w:spacing w:after="60" w:line="276"/>
        <w:ind w:left="720" w:hanging="360"/>
      </w:pPr>
      <w:r>
        <w:rPr>
          <w:sz w:val="22"/>
          <w:szCs w:val="22"/>
        </w:rPr>
        <w:t xml:space="preserve">Document 2. The utility's application, two pages, with the plant's design flow, expected concentrate quality, and discharge plan.</w:t>
      </w:r>
    </w:p>
    <w:p>
      <w:pPr>
        <w:pStyle w:val="ListParagraph"/>
        <w:keepNext/>
        <w:keepLines/>
        <w:numPr>
          <w:ilvl w:val="0"/>
          <w:numId w:val="3"/>
        </w:numPr>
        <w:spacing w:after="60" w:line="276"/>
        <w:ind w:left="720" w:hanging="360"/>
      </w:pPr>
      <w:r>
        <w:rPr>
          <w:sz w:val="22"/>
          <w:szCs w:val="22"/>
        </w:rPr>
        <w:t xml:space="preserve">Document 3. A salinity monitoring record from the channel, two pages, covering the year before the plant was proposed.</w:t>
      </w:r>
    </w:p>
    <w:p>
      <w:pPr>
        <w:pStyle w:val="ListParagraph"/>
        <w:keepNext/>
        <w:keepLines/>
        <w:numPr>
          <w:ilvl w:val="0"/>
          <w:numId w:val="3"/>
        </w:numPr>
        <w:spacing w:after="60" w:line="276"/>
        <w:ind w:left="720" w:hanging="360"/>
      </w:pPr>
      <w:r>
        <w:rPr>
          <w:sz w:val="22"/>
          <w:szCs w:val="22"/>
        </w:rPr>
        <w:t xml:space="preserve">Document 4. A summary of a marsh vegetation survey, two pages, describing which plants grow at which salinity.</w:t>
      </w:r>
    </w:p>
    <w:p>
      <w:pPr>
        <w:pStyle w:val="ListParagraph"/>
        <w:keepLines/>
        <w:numPr>
          <w:ilvl w:val="0"/>
          <w:numId w:val="3"/>
        </w:numPr>
        <w:spacing w:after="60" w:line="276"/>
        <w:ind w:left="720" w:hanging="360"/>
      </w:pPr>
      <w:r>
        <w:rPr>
          <w:sz w:val="22"/>
          <w:szCs w:val="22"/>
        </w:rPr>
        <w:t xml:space="preserve">Document 5. The agency's public notice, one page, which states how comments must be submitted and what the agency must do with them.</w:t>
      </w:r>
    </w:p>
    <w:p>
      <w:pPr>
        <w:spacing w:after="40" w:before="0" w:line="120" w:lineRule="exact"/>
      </w:pPr>
    </w:p>
    <w:p>
      <w:pPr>
        <w:keepNext/>
        <w:keepLines/>
        <w:spacing w:after="120" w:line="276"/>
      </w:pPr>
      <w:r>
        <w:rPr>
          <w:b/>
          <w:bCs/>
          <w:sz w:val="22"/>
          <w:szCs w:val="22"/>
        </w:rPr>
        <w:t xml:space="preserve">Figures from the packet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605"/>
        <w:gridCol w:w="2123"/>
        <w:gridCol w:w="2352"/>
      </w:tblGrid>
      <w:tr>
        <w:trPr>
          <w:cantSplit/>
          <w:tblHeader/>
        </w:trPr>
        <w:tc>
          <w:tcPr>
            <w:tcW w:type="dxa" w:w="560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21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c>
          <w:tcPr>
            <w:tcW w:type="dxa" w:w="23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Where it appears</w:t>
            </w:r>
          </w:p>
        </w:tc>
      </w:tr>
      <w:tr>
        <w:trPr>
          <w:cantSplit/>
        </w:trPr>
        <w:tc>
          <w:tcPr>
            <w:tcW w:type="dxa" w:w="5605"/>
            <w:tcMar>
              <w:top w:type="dxa" w:w="70"/>
              <w:left w:type="dxa" w:w="100"/>
              <w:bottom w:type="dxa" w:w="70"/>
              <w:right w:type="dxa" w:w="100"/>
            </w:tcMar>
            <w:vAlign w:val="top"/>
          </w:tcPr>
          <w:p>
            <w:pPr>
              <w:keepNext/>
              <w:spacing w:after="0" w:line="252"/>
              <w:jc w:val="left"/>
            </w:pPr>
            <w:r>
              <w:rPr>
                <w:sz w:val="22"/>
                <w:szCs w:val="22"/>
              </w:rPr>
              <w:t xml:space="preserve">Source water total dissolved solids</w:t>
            </w:r>
          </w:p>
        </w:tc>
        <w:tc>
          <w:tcPr>
            <w:tcW w:type="dxa" w:w="2123"/>
            <w:tcMar>
              <w:top w:type="dxa" w:w="70"/>
              <w:left w:type="dxa" w:w="100"/>
              <w:bottom w:type="dxa" w:w="70"/>
              <w:right w:type="dxa" w:w="100"/>
            </w:tcMar>
            <w:vAlign w:val="top"/>
          </w:tcPr>
          <w:p>
            <w:pPr>
              <w:keepNext/>
              <w:spacing w:after="0" w:line="252"/>
              <w:jc w:val="left"/>
            </w:pPr>
            <w:r>
              <w:rPr>
                <w:sz w:val="22"/>
                <w:szCs w:val="22"/>
              </w:rPr>
              <w:t xml:space="preserve">4,200 mg/L</w:t>
            </w:r>
          </w:p>
        </w:tc>
        <w:tc>
          <w:tcPr>
            <w:tcW w:type="dxa" w:w="2352"/>
            <w:tcMar>
              <w:top w:type="dxa" w:w="70"/>
              <w:left w:type="dxa" w:w="100"/>
              <w:bottom w:type="dxa" w:w="70"/>
              <w:right w:type="dxa" w:w="100"/>
            </w:tcMar>
            <w:vAlign w:val="top"/>
          </w:tcPr>
          <w:p>
            <w:pPr>
              <w:keepNext/>
              <w:spacing w:after="0" w:line="252"/>
              <w:jc w:val="left"/>
            </w:pPr>
            <w:r>
              <w:rPr>
                <w:sz w:val="22"/>
                <w:szCs w:val="22"/>
              </w:rPr>
              <w:t xml:space="preserve">Document 2, page 1</w:t>
            </w:r>
          </w:p>
        </w:tc>
      </w:tr>
      <w:tr>
        <w:trPr>
          <w:cantSplit/>
        </w:trPr>
        <w:tc>
          <w:tcPr>
            <w:tcW w:type="dxa" w:w="5605"/>
            <w:tcMar>
              <w:top w:type="dxa" w:w="70"/>
              <w:left w:type="dxa" w:w="100"/>
              <w:bottom w:type="dxa" w:w="70"/>
              <w:right w:type="dxa" w:w="100"/>
            </w:tcMar>
            <w:vAlign w:val="top"/>
          </w:tcPr>
          <w:p>
            <w:pPr>
              <w:keepNext/>
              <w:spacing w:after="0" w:line="252"/>
              <w:jc w:val="left"/>
            </w:pPr>
            <w:r>
              <w:rPr>
                <w:sz w:val="22"/>
                <w:szCs w:val="22"/>
              </w:rPr>
              <w:t xml:space="preserve">Concentrate total dissolved solids</w:t>
            </w:r>
          </w:p>
        </w:tc>
        <w:tc>
          <w:tcPr>
            <w:tcW w:type="dxa" w:w="2123"/>
            <w:tcMar>
              <w:top w:type="dxa" w:w="70"/>
              <w:left w:type="dxa" w:w="100"/>
              <w:bottom w:type="dxa" w:w="70"/>
              <w:right w:type="dxa" w:w="100"/>
            </w:tcMar>
            <w:vAlign w:val="top"/>
          </w:tcPr>
          <w:p>
            <w:pPr>
              <w:keepNext/>
              <w:spacing w:after="0" w:line="252"/>
              <w:jc w:val="left"/>
            </w:pPr>
            <w:r>
              <w:rPr>
                <w:sz w:val="22"/>
                <w:szCs w:val="22"/>
              </w:rPr>
              <w:t xml:space="preserve">11,800 mg/L</w:t>
            </w:r>
          </w:p>
        </w:tc>
        <w:tc>
          <w:tcPr>
            <w:tcW w:type="dxa" w:w="2352"/>
            <w:tcMar>
              <w:top w:type="dxa" w:w="70"/>
              <w:left w:type="dxa" w:w="100"/>
              <w:bottom w:type="dxa" w:w="70"/>
              <w:right w:type="dxa" w:w="100"/>
            </w:tcMar>
            <w:vAlign w:val="top"/>
          </w:tcPr>
          <w:p>
            <w:pPr>
              <w:keepNext/>
              <w:spacing w:after="0" w:line="252"/>
              <w:jc w:val="left"/>
            </w:pPr>
            <w:r>
              <w:rPr>
                <w:sz w:val="22"/>
                <w:szCs w:val="22"/>
              </w:rPr>
              <w:t xml:space="preserve">Document 2, page 1</w:t>
            </w:r>
          </w:p>
        </w:tc>
      </w:tr>
      <w:tr>
        <w:trPr>
          <w:cantSplit/>
        </w:trPr>
        <w:tc>
          <w:tcPr>
            <w:tcW w:type="dxa" w:w="5605"/>
            <w:tcMar>
              <w:top w:type="dxa" w:w="70"/>
              <w:left w:type="dxa" w:w="100"/>
              <w:bottom w:type="dxa" w:w="70"/>
              <w:right w:type="dxa" w:w="100"/>
            </w:tcMar>
            <w:vAlign w:val="top"/>
          </w:tcPr>
          <w:p>
            <w:pPr>
              <w:keepNext/>
              <w:spacing w:after="0" w:line="252"/>
              <w:jc w:val="left"/>
            </w:pPr>
            <w:r>
              <w:rPr>
                <w:sz w:val="22"/>
                <w:szCs w:val="22"/>
              </w:rPr>
              <w:t xml:space="preserve">Channel background, annual median</w:t>
            </w:r>
          </w:p>
        </w:tc>
        <w:tc>
          <w:tcPr>
            <w:tcW w:type="dxa" w:w="2123"/>
            <w:tcMar>
              <w:top w:type="dxa" w:w="70"/>
              <w:left w:type="dxa" w:w="100"/>
              <w:bottom w:type="dxa" w:w="70"/>
              <w:right w:type="dxa" w:w="100"/>
            </w:tcMar>
            <w:vAlign w:val="top"/>
          </w:tcPr>
          <w:p>
            <w:pPr>
              <w:keepNext/>
              <w:spacing w:after="0" w:line="252"/>
              <w:jc w:val="left"/>
            </w:pPr>
            <w:r>
              <w:rPr>
                <w:sz w:val="22"/>
                <w:szCs w:val="22"/>
              </w:rPr>
              <w:t xml:space="preserve">900 mg/L</w:t>
            </w:r>
          </w:p>
        </w:tc>
        <w:tc>
          <w:tcPr>
            <w:tcW w:type="dxa" w:w="2352"/>
            <w:tcMar>
              <w:top w:type="dxa" w:w="70"/>
              <w:left w:type="dxa" w:w="100"/>
              <w:bottom w:type="dxa" w:w="70"/>
              <w:right w:type="dxa" w:w="100"/>
            </w:tcMar>
            <w:vAlign w:val="top"/>
          </w:tcPr>
          <w:p>
            <w:pPr>
              <w:keepNext/>
              <w:spacing w:after="0" w:line="252"/>
              <w:jc w:val="left"/>
            </w:pPr>
            <w:r>
              <w:rPr>
                <w:sz w:val="22"/>
                <w:szCs w:val="22"/>
              </w:rPr>
              <w:t xml:space="preserve">Document 3, page 1</w:t>
            </w:r>
          </w:p>
        </w:tc>
      </w:tr>
      <w:tr>
        <w:trPr>
          <w:cantSplit/>
        </w:trPr>
        <w:tc>
          <w:tcPr>
            <w:tcW w:type="dxa" w:w="5605"/>
            <w:tcMar>
              <w:top w:type="dxa" w:w="70"/>
              <w:left w:type="dxa" w:w="100"/>
              <w:bottom w:type="dxa" w:w="70"/>
              <w:right w:type="dxa" w:w="100"/>
            </w:tcMar>
            <w:vAlign w:val="top"/>
          </w:tcPr>
          <w:p>
            <w:pPr>
              <w:keepNext/>
              <w:spacing w:after="0" w:line="252"/>
              <w:jc w:val="left"/>
            </w:pPr>
            <w:r>
              <w:rPr>
                <w:sz w:val="22"/>
                <w:szCs w:val="22"/>
              </w:rPr>
              <w:t xml:space="preserve">Permit limit, stated as a concentration at the outfall</w:t>
            </w:r>
          </w:p>
        </w:tc>
        <w:tc>
          <w:tcPr>
            <w:tcW w:type="dxa" w:w="2123"/>
            <w:tcMar>
              <w:top w:type="dxa" w:w="70"/>
              <w:left w:type="dxa" w:w="100"/>
              <w:bottom w:type="dxa" w:w="70"/>
              <w:right w:type="dxa" w:w="100"/>
            </w:tcMar>
            <w:vAlign w:val="top"/>
          </w:tcPr>
          <w:p>
            <w:pPr>
              <w:keepNext/>
              <w:spacing w:after="0" w:line="252"/>
              <w:jc w:val="left"/>
            </w:pPr>
            <w:r>
              <w:rPr>
                <w:sz w:val="22"/>
                <w:szCs w:val="22"/>
              </w:rPr>
              <w:t xml:space="preserve">2,500 mg/L</w:t>
            </w:r>
          </w:p>
        </w:tc>
        <w:tc>
          <w:tcPr>
            <w:tcW w:type="dxa" w:w="2352"/>
            <w:tcMar>
              <w:top w:type="dxa" w:w="70"/>
              <w:left w:type="dxa" w:w="100"/>
              <w:bottom w:type="dxa" w:w="70"/>
              <w:right w:type="dxa" w:w="100"/>
            </w:tcMar>
            <w:vAlign w:val="top"/>
          </w:tcPr>
          <w:p>
            <w:pPr>
              <w:keepNext/>
              <w:spacing w:after="0" w:line="252"/>
              <w:jc w:val="left"/>
            </w:pPr>
            <w:r>
              <w:rPr>
                <w:sz w:val="22"/>
                <w:szCs w:val="22"/>
              </w:rPr>
              <w:t xml:space="preserve">Document 1, page 2</w:t>
            </w:r>
          </w:p>
        </w:tc>
      </w:tr>
      <w:tr>
        <w:trPr>
          <w:cantSplit/>
        </w:trPr>
        <w:tc>
          <w:tcPr>
            <w:tcW w:type="dxa" w:w="5605"/>
            <w:tcMar>
              <w:top w:type="dxa" w:w="70"/>
              <w:left w:type="dxa" w:w="100"/>
              <w:bottom w:type="dxa" w:w="70"/>
              <w:right w:type="dxa" w:w="100"/>
            </w:tcMar>
            <w:vAlign w:val="top"/>
          </w:tcPr>
          <w:p>
            <w:pPr>
              <w:spacing w:after="0" w:line="252"/>
              <w:jc w:val="left"/>
            </w:pPr>
            <w:r>
              <w:rPr>
                <w:sz w:val="22"/>
                <w:szCs w:val="22"/>
              </w:rPr>
              <w:t xml:space="preserve">Monitoring frequency in the draft permit</w:t>
            </w:r>
          </w:p>
        </w:tc>
        <w:tc>
          <w:tcPr>
            <w:tcW w:type="dxa" w:w="2123"/>
            <w:tcMar>
              <w:top w:type="dxa" w:w="70"/>
              <w:left w:type="dxa" w:w="100"/>
              <w:bottom w:type="dxa" w:w="70"/>
              <w:right w:type="dxa" w:w="100"/>
            </w:tcMar>
            <w:vAlign w:val="top"/>
          </w:tcPr>
          <w:p>
            <w:pPr>
              <w:spacing w:after="0" w:line="252"/>
              <w:jc w:val="left"/>
            </w:pPr>
            <w:r>
              <w:rPr>
                <w:sz w:val="22"/>
                <w:szCs w:val="22"/>
              </w:rPr>
              <w:t xml:space="preserve">One grab sample each month</w:t>
            </w:r>
          </w:p>
        </w:tc>
        <w:tc>
          <w:tcPr>
            <w:tcW w:type="dxa" w:w="2352"/>
            <w:tcMar>
              <w:top w:type="dxa" w:w="70"/>
              <w:left w:type="dxa" w:w="100"/>
              <w:bottom w:type="dxa" w:w="70"/>
              <w:right w:type="dxa" w:w="100"/>
            </w:tcMar>
            <w:vAlign w:val="top"/>
          </w:tcPr>
          <w:p>
            <w:pPr>
              <w:spacing w:after="0" w:line="252"/>
              <w:jc w:val="left"/>
            </w:pPr>
            <w:r>
              <w:rPr>
                <w:sz w:val="22"/>
                <w:szCs w:val="22"/>
              </w:rPr>
              <w:t xml:space="preserve">Document 1, page 2</w:t>
            </w:r>
          </w:p>
        </w:tc>
      </w:tr>
    </w:tbl>
    <w:p>
      <w:pPr>
        <w:spacing w:after="160" w:before="0"/>
      </w:pP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The formal comment runs 700 to 900 words and addresses exactly one of the five permit conditions in Document 1. Comments that object to the whole project lose credit.</w:t>
      </w:r>
    </w:p>
    <w:p>
      <w:pPr>
        <w:pStyle w:val="ListParagraph"/>
        <w:keepNext/>
        <w:keepLines/>
        <w:numPr>
          <w:ilvl w:val="0"/>
          <w:numId w:val="4"/>
        </w:numPr>
        <w:spacing w:after="60" w:line="276"/>
        <w:ind w:left="720" w:hanging="360"/>
      </w:pPr>
      <w:r>
        <w:rPr>
          <w:sz w:val="22"/>
          <w:szCs w:val="22"/>
        </w:rPr>
        <w:t xml:space="preserve">The comment cites the record by document and page for every factual claim.</w:t>
      </w:r>
    </w:p>
    <w:p>
      <w:pPr>
        <w:pStyle w:val="ListParagraph"/>
        <w:keepNext/>
        <w:keepLines/>
        <w:numPr>
          <w:ilvl w:val="0"/>
          <w:numId w:val="4"/>
        </w:numPr>
        <w:spacing w:after="60" w:line="276"/>
        <w:ind w:left="720" w:hanging="360"/>
      </w:pPr>
      <w:r>
        <w:rPr>
          <w:sz w:val="22"/>
          <w:szCs w:val="22"/>
        </w:rPr>
        <w:t xml:space="preserve">The comment proposes replacement language, written as the sentence the student wants the permit to contain.</w:t>
      </w:r>
    </w:p>
    <w:p>
      <w:pPr>
        <w:pStyle w:val="ListParagraph"/>
        <w:keepNext/>
        <w:keepLines/>
        <w:numPr>
          <w:ilvl w:val="0"/>
          <w:numId w:val="4"/>
        </w:numPr>
        <w:spacing w:after="60" w:line="276"/>
        <w:ind w:left="720" w:hanging="360"/>
      </w:pPr>
      <w:r>
        <w:rPr>
          <w:sz w:val="22"/>
          <w:szCs w:val="22"/>
        </w:rPr>
        <w:t xml:space="preserve">The comment states the agency's strongest likely response and answers it.</w:t>
      </w:r>
    </w:p>
    <w:p>
      <w:pPr>
        <w:pStyle w:val="ListParagraph"/>
        <w:keepNext/>
        <w:keepLines/>
        <w:numPr>
          <w:ilvl w:val="0"/>
          <w:numId w:val="4"/>
        </w:numPr>
        <w:spacing w:after="60" w:line="276"/>
        <w:ind w:left="720" w:hanging="360"/>
      </w:pPr>
      <w:r>
        <w:rPr>
          <w:sz w:val="22"/>
          <w:szCs w:val="22"/>
        </w:rPr>
        <w:t xml:space="preserve">A separate plain-language version runs no more than 250 words, is addressed to households near the marsh, and contains no term the formal comment did not define.</w:t>
      </w:r>
    </w:p>
    <w:p>
      <w:pPr>
        <w:pStyle w:val="ListParagraph"/>
        <w:keepLines/>
        <w:numPr>
          <w:ilvl w:val="0"/>
          <w:numId w:val="4"/>
        </w:numPr>
        <w:spacing w:after="60" w:line="276"/>
        <w:ind w:left="720" w:hanging="360"/>
      </w:pPr>
      <w:r>
        <w:rPr>
          <w:sz w:val="22"/>
          <w:szCs w:val="22"/>
        </w:rPr>
        <w:t xml:space="preserve">A one-page response prediction names the two sentences in the comment the agency is most likely to quote back, and says why.</w:t>
      </w:r>
    </w:p>
    <w:p>
      <w:pPr>
        <w:spacing w:after="40" w:before="0" w:line="120" w:lineRule="exact"/>
      </w:pPr>
    </w:p>
    <w:p>
      <w:pPr>
        <w:keepNext/>
        <w:keepLines/>
        <w:spacing w:after="120" w:line="276"/>
      </w:pPr>
      <w:r>
        <w:rPr>
          <w:b/>
          <w:bCs/>
          <w:sz w:val="22"/>
          <w:szCs w:val="22"/>
        </w:rPr>
        <w:t xml:space="preserve">Deliverable and audience</w:t>
      </w:r>
    </w:p>
    <w:p>
      <w:pPr>
        <w:spacing w:after="120" w:line="276"/>
      </w:pPr>
      <w:r>
        <w:rPr>
          <w:sz w:val="22"/>
          <w:szCs w:val="22"/>
        </w:rPr>
        <w:t xml:space="preserve">Each student submits all three pieces to a mock agency panel of three classmates who play the permit writer, the marsh ecologist, and the utility's engineer. The panel reads every comment, selects the three it would answer in writing, and states the condition it would actually change.</w:t>
      </w:r>
    </w:p>
    <w:p>
      <w:pPr>
        <w:keepNext/>
        <w:keepLines/>
        <w:spacing w:after="120" w:line="276"/>
      </w:pPr>
      <w:r>
        <w:rPr>
          <w:b/>
          <w:bCs/>
          <w:sz w:val="22"/>
          <w:szCs w:val="22"/>
        </w:rPr>
        <w:t xml:space="preserve">Permit packet</w:t>
      </w:r>
    </w:p>
    <w:p>
      <w:pPr>
        <w:keepNext/>
        <w:keepLines/>
        <w:spacing w:after="120" w:line="276"/>
      </w:pPr>
      <w:r>
        <w:rPr>
          <w:b/>
          <w:bCs/>
          <w:sz w:val="22"/>
          <w:szCs w:val="22"/>
        </w:rPr>
        <w:t xml:space="preserve">Document 1. Draft Permit TW-0418, Nantwyck Brackish Water Treatment Plant</w:t>
      </w:r>
    </w:p>
    <w:p>
      <w:pPr>
        <w:spacing w:after="120" w:line="276"/>
      </w:pPr>
      <w:r>
        <w:rPr>
          <w:i/>
          <w:iCs/>
          <w:sz w:val="22"/>
          <w:szCs w:val="22"/>
        </w:rPr>
        <w:t xml:space="preserve">Prepared by D. Okafor, permit writer, Permits Section, State Department of Water Quality. Draft for public comment; not in effect.</w:t>
      </w:r>
    </w:p>
    <w:p>
      <w:pPr>
        <w:spacing w:after="120" w:line="276"/>
      </w:pPr>
      <w:r>
        <w:rPr>
          <w:i/>
          <w:iCs/>
          <w:sz w:val="22"/>
          <w:szCs w:val="22"/>
        </w:rPr>
        <w:t xml:space="preserve">Document 1, page 1. Authorization and basis for the conditions</w:t>
      </w:r>
    </w:p>
    <w:p>
      <w:pPr>
        <w:spacing w:after="120" w:line="276"/>
      </w:pPr>
      <w:r>
        <w:rPr>
          <w:sz w:val="22"/>
          <w:szCs w:val="22"/>
        </w:rPr>
        <w:t xml:space="preserve">The Department proposes to authorize the City of Nantwyck Utilities Department, called the permittee in this permit, to discharge reverse osmosis concentrate from the Nantwyck Brackish Water Treatment Plant through Outfall 001 into Ferrel Channel, a tidal channel at the eastern edge of Thurloe Marsh. The discharge must meet the five conditions set out in Parts I through III. No other waste stream may be discharged through Outfall 001. This permit takes effect on the date of final issue and expires five years later.</w:t>
      </w:r>
    </w:p>
    <w:p>
      <w:pPr>
        <w:spacing w:after="120" w:line="276"/>
      </w:pPr>
      <w:r>
        <w:rPr>
          <w:sz w:val="22"/>
          <w:szCs w:val="22"/>
        </w:rPr>
        <w:t xml:space="preserve">Basis for the conditions. The concentration limit in Condition 1 is the limit the Department has applied to other brackish-water treatment plants that discharge to tidal waters. One grab sample each month, in Condition 2, is the Department's standard monitoring frequency for a discharge of less than 10 million gallons per day. The outfall location in Condition 3 is the location proposed in the application. The 150-meter mixing zone in Condition 4 is the Department's standard size for a tidal channel of this width, and the quarterly reporting in Condition 5 is the standard schedule for a discharge of this size. In setting these conditions, the Department reviewed the permittee's application (Document 2) and its own salinity record for Ferrel Channel (Document 3), which shows an annual median of 900 mg/L of total dissolved solids.</w:t>
      </w:r>
    </w:p>
    <w:p>
      <w:pPr>
        <w:spacing w:after="120" w:line="276"/>
      </w:pPr>
      <w:r>
        <w:rPr>
          <w:i/>
          <w:iCs/>
          <w:sz w:val="22"/>
          <w:szCs w:val="22"/>
        </w:rPr>
        <w:t xml:space="preserve">Document 1, page 2. Part I. Discharge limit and monitoring</w:t>
      </w:r>
    </w:p>
    <w:p>
      <w:pPr>
        <w:spacing w:after="120" w:line="276"/>
      </w:pPr>
      <w:r>
        <w:rPr>
          <w:sz w:val="22"/>
          <w:szCs w:val="22"/>
        </w:rPr>
        <w:t xml:space="preserve">Condition 1 (Part I.A). Concentration limit. Total dissolved solids in the discharge at Outfall 001 shall not exceed 2,500 mg/L. This limit applies to the combined flow at the outfall after the concentrate has been blended with dilution water. The permittee may blend the concentrate with water drawn from the Nantwyck River at the Holm Street intake in whatever ratio is needed to meet the limit.</w:t>
      </w:r>
    </w:p>
    <w:p>
      <w:pPr>
        <w:spacing w:after="120" w:line="276"/>
      </w:pPr>
      <w:r>
        <w:rPr>
          <w:sz w:val="22"/>
          <w:szCs w:val="22"/>
        </w:rPr>
        <w:t xml:space="preserve">Condition 2 (Part I.B). Monitoring frequency. The permittee shall collect one grab sample at Outfall 001 each calendar month and analyze it for total dissolved solids. A grab sample is a single sample collected at one moment. The permittee shall record the flow of the combined discharge at the time the sample is collected. The permittee may choose the day and hour of sampling.</w:t>
      </w:r>
    </w:p>
    <w:p>
      <w:pPr>
        <w:spacing w:after="120" w:line="276"/>
      </w:pPr>
      <w:r>
        <w:rPr>
          <w:i/>
          <w:iCs/>
          <w:sz w:val="22"/>
          <w:szCs w:val="22"/>
        </w:rPr>
        <w:t xml:space="preserve">Document 1, page 3. Part II. Outfall and receiving water</w:t>
      </w:r>
    </w:p>
    <w:p>
      <w:pPr>
        <w:spacing w:after="120" w:line="276"/>
      </w:pPr>
      <w:r>
        <w:rPr>
          <w:sz w:val="22"/>
          <w:szCs w:val="22"/>
        </w:rPr>
        <w:t xml:space="preserve">Condition 3 (Part II.A). Outfall location. Outfall 001 shall be a single submerged pipe on the eastern bank of Ferrel Channel at channel marker 4. This is also the location of the Department's monitoring station FC-2.</w:t>
      </w:r>
    </w:p>
    <w:p>
      <w:pPr>
        <w:spacing w:after="120" w:line="276"/>
      </w:pPr>
      <w:r>
        <w:rPr>
          <w:sz w:val="22"/>
          <w:szCs w:val="22"/>
        </w:rPr>
        <w:t xml:space="preserve">Condition 4 (Part II.B). Mixing zone. A mixing zone is allowed in Ferrel Channel extending 150 meters from Outfall 001 in each direction along the channel. Inside the mixing zone, the receiving-water standard in this condition does not apply. Outside the mixing zone, the discharge shall not raise total dissolved solids in Ferrel Channel more than 300 mg/L above background.</w:t>
      </w:r>
    </w:p>
    <w:p>
      <w:pPr>
        <w:spacing w:after="120" w:line="276"/>
      </w:pPr>
      <w:r>
        <w:rPr>
          <w:i/>
          <w:iCs/>
          <w:sz w:val="22"/>
          <w:szCs w:val="22"/>
        </w:rPr>
        <w:t xml:space="preserve">Document 1, page 4. Part III. Reporting and records</w:t>
      </w:r>
    </w:p>
    <w:p>
      <w:pPr>
        <w:spacing w:after="120" w:line="276"/>
      </w:pPr>
      <w:r>
        <w:rPr>
          <w:sz w:val="22"/>
          <w:szCs w:val="22"/>
        </w:rPr>
        <w:t xml:space="preserve">Condition 5 (Part III.A). Reporting schedule. The permittee shall report each monthly sample result, with the flow recorded at the time of sampling, on a discharge monitoring report submitted to the Department once each calendar quarter, within 45 days after the quarter ends. Any result above the limit in Condition 1 shall be marked on that report.</w:t>
      </w:r>
    </w:p>
    <w:p>
      <w:pPr>
        <w:spacing w:after="120" w:line="276"/>
      </w:pPr>
      <w:r>
        <w:rPr>
          <w:sz w:val="22"/>
          <w:szCs w:val="22"/>
        </w:rPr>
        <w:t xml:space="preserve">Part III.B. Records. The permittee shall keep all sampling records at the plant for three years and shall provide them to the Department on request.</w:t>
      </w:r>
    </w:p>
    <w:p>
      <w:pPr>
        <w:keepNext/>
        <w:keepLines/>
        <w:spacing w:after="120" w:line="276"/>
      </w:pPr>
      <w:r>
        <w:rPr>
          <w:b/>
          <w:bCs/>
          <w:sz w:val="22"/>
          <w:szCs w:val="22"/>
        </w:rPr>
        <w:t xml:space="preserve">Document 2. Permit application, City of Nantwyck Utilities Department (excerpts)</w:t>
      </w:r>
    </w:p>
    <w:p>
      <w:pPr>
        <w:spacing w:after="120" w:line="276"/>
      </w:pPr>
      <w:r>
        <w:rPr>
          <w:i/>
          <w:iCs/>
          <w:sz w:val="22"/>
          <w:szCs w:val="22"/>
        </w:rPr>
        <w:t xml:space="preserve">Document 2, page 1. Plant description</w:t>
      </w:r>
    </w:p>
    <w:p>
      <w:pPr>
        <w:spacing w:after="120" w:line="276"/>
      </w:pPr>
      <w:r>
        <w:rPr>
          <w:sz w:val="22"/>
          <w:szCs w:val="22"/>
        </w:rPr>
        <w:t xml:space="preserve">The Nantwyck Brackish Water Treatment Plant will draw brackish groundwater from four wells. The source water carries about 4,200 mg/L of total dissolved solids. Reverse osmosis membranes will separate it into drinking water carrying about 200 mg/L and concentrate carrying about 11,800 mg/L. At design flow, the plant will take in 3.2 million gallons per day of source water and produce 2.1 million gallons per day of drinking water, which is about one third of the city's supply on an average day, along with 1.1 million gallons per day of concentrate.</w:t>
      </w:r>
    </w:p>
    <w:p>
      <w:pPr>
        <w:spacing w:after="120" w:line="276"/>
      </w:pPr>
      <w:r>
        <w:rPr>
          <w:sz w:val="22"/>
          <w:szCs w:val="22"/>
        </w:rPr>
        <w:t xml:space="preserve">At design flow, the concentrate will carry about 108,000 pounds of dissolved solids each day, calculated as 1.1 million gallons per day times 11,800 mg/L times 8.34 pounds per gallon. Concentrate quality will vary with the wells in use and is expected to range from 11,200 to 12,600 mg/L. The plant may run below design flow in winter, when demand is lower.</w:t>
      </w:r>
    </w:p>
    <w:p>
      <w:pPr>
        <w:spacing w:after="120" w:line="276"/>
      </w:pPr>
      <w:r>
        <w:rPr>
          <w:i/>
          <w:iCs/>
          <w:sz w:val="22"/>
          <w:szCs w:val="22"/>
        </w:rPr>
        <w:t xml:space="preserve">Document 2, page 2. Discharge plan and alternatives</w:t>
      </w:r>
    </w:p>
    <w:p>
      <w:pPr>
        <w:spacing w:after="120" w:line="276"/>
      </w:pPr>
      <w:r>
        <w:rPr>
          <w:sz w:val="22"/>
          <w:szCs w:val="22"/>
        </w:rPr>
        <w:t xml:space="preserve">The concentrate will travel through a new 900-meter pipe to Ferrel Channel at channel marker 4. Because the concentrate is far saltier than the 2,500 mg/L limit, it will be blended before discharge with water pumped from the Nantwyck River at the Holm Street intake, where total dissolved solids average about 600 mg/L. At design flow, about 5.4 million gallons per day of river water will be blended with 1.1 million gallons per day of concentrate, for a combined discharge of about 6.5 million gallons per day at about 2,495 mg/L. Operators will adjust the amount of river water as concentrate quality changes so that the combined discharge stays below 2,500 mg/L.</w:t>
      </w:r>
    </w:p>
    <w:p>
      <w:pPr>
        <w:spacing w:after="120" w:line="276"/>
      </w:pPr>
      <w:r>
        <w:rPr>
          <w:sz w:val="22"/>
          <w:szCs w:val="22"/>
        </w:rPr>
        <w:t xml:space="preserve">The utility considered two alternatives. The first was a discharge to the main channel of the Nantwyck River, 2.0 kilometers from the plant, where the river's larger flow would dilute the concentrate further. It was rejected because the longer pipe would add about $2.6 million to the project cost. The second was injection into a deep disposal well, which was rejected because no suitable rock formation lies within 16 kilometers of the plant.</w:t>
      </w:r>
    </w:p>
    <w:p>
      <w:pPr>
        <w:keepNext/>
        <w:keepLines/>
        <w:spacing w:after="120" w:line="276"/>
      </w:pPr>
      <w:r>
        <w:rPr>
          <w:b/>
          <w:bCs/>
          <w:sz w:val="22"/>
          <w:szCs w:val="22"/>
        </w:rPr>
        <w:t xml:space="preserve">Document 3. Salinity record for Ferrel Channel, station FC-2</w:t>
      </w:r>
    </w:p>
    <w:p>
      <w:pPr>
        <w:spacing w:after="120" w:line="276"/>
      </w:pPr>
      <w:r>
        <w:rPr>
          <w:i/>
          <w:iCs/>
          <w:sz w:val="22"/>
          <w:szCs w:val="22"/>
        </w:rPr>
        <w:t xml:space="preserve">Prepared by the State Department of Water Quality from its continuous monitoring station. The record covers the twelve months before the plant was proposed.</w:t>
      </w:r>
    </w:p>
    <w:p>
      <w:pPr>
        <w:keepNext/>
        <w:keepLines/>
        <w:spacing w:after="120" w:line="276"/>
      </w:pPr>
      <w:r>
        <w:rPr>
          <w:i/>
          <w:iCs/>
          <w:sz w:val="22"/>
          <w:szCs w:val="22"/>
        </w:rPr>
        <w:t xml:space="preserve">Document 3, page 1. Monthly summary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45"/>
        <w:gridCol w:w="3917"/>
        <w:gridCol w:w="3918"/>
      </w:tblGrid>
      <w:tr>
        <w:trPr>
          <w:cantSplit/>
          <w:tblHeader/>
        </w:trPr>
        <w:tc>
          <w:tcPr>
            <w:tcW w:type="dxa" w:w="224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39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Monthly median (mg/L)</w:t>
            </w:r>
          </w:p>
        </w:tc>
        <w:tc>
          <w:tcPr>
            <w:tcW w:type="dxa" w:w="39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Highest reading in the month (mg/L)</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760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1,050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February</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690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980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March</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560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820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490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700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May</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620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910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June</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880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1,330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980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1,570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August</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1,260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2,040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September</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1,430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2,310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October</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1,190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1,880</w:t>
            </w:r>
          </w:p>
        </w:tc>
      </w:tr>
      <w:tr>
        <w:trPr>
          <w:cantSplit/>
        </w:trPr>
        <w:tc>
          <w:tcPr>
            <w:tcW w:type="dxa" w:w="2245"/>
            <w:tcMar>
              <w:top w:type="dxa" w:w="70"/>
              <w:left w:type="dxa" w:w="100"/>
              <w:bottom w:type="dxa" w:w="70"/>
              <w:right w:type="dxa" w:w="100"/>
            </w:tcMar>
            <w:vAlign w:val="top"/>
          </w:tcPr>
          <w:p>
            <w:pPr>
              <w:keepNext/>
              <w:spacing w:after="0" w:line="252"/>
              <w:jc w:val="left"/>
            </w:pPr>
            <w:r>
              <w:rPr>
                <w:sz w:val="22"/>
                <w:szCs w:val="22"/>
              </w:rPr>
              <w:t xml:space="preserve">November</w:t>
            </w:r>
          </w:p>
        </w:tc>
        <w:tc>
          <w:tcPr>
            <w:tcW w:type="dxa" w:w="3917"/>
            <w:tcMar>
              <w:top w:type="dxa" w:w="70"/>
              <w:left w:type="dxa" w:w="100"/>
              <w:bottom w:type="dxa" w:w="70"/>
              <w:right w:type="dxa" w:w="100"/>
            </w:tcMar>
            <w:vAlign w:val="top"/>
          </w:tcPr>
          <w:p>
            <w:pPr>
              <w:keepNext/>
              <w:spacing w:after="0" w:line="252"/>
              <w:jc w:val="left"/>
            </w:pPr>
            <w:r>
              <w:rPr>
                <w:sz w:val="22"/>
                <w:szCs w:val="22"/>
              </w:rPr>
              <w:t xml:space="preserve">970</w:t>
            </w:r>
          </w:p>
        </w:tc>
        <w:tc>
          <w:tcPr>
            <w:tcW w:type="dxa" w:w="3918"/>
            <w:tcMar>
              <w:top w:type="dxa" w:w="70"/>
              <w:left w:type="dxa" w:w="100"/>
              <w:bottom w:type="dxa" w:w="70"/>
              <w:right w:type="dxa" w:w="100"/>
            </w:tcMar>
            <w:vAlign w:val="top"/>
          </w:tcPr>
          <w:p>
            <w:pPr>
              <w:keepNext/>
              <w:spacing w:after="0" w:line="252"/>
              <w:jc w:val="left"/>
            </w:pPr>
            <w:r>
              <w:rPr>
                <w:sz w:val="22"/>
                <w:szCs w:val="22"/>
              </w:rPr>
              <w:t xml:space="preserve">1,410</w:t>
            </w:r>
          </w:p>
        </w:tc>
      </w:tr>
      <w:tr>
        <w:trPr>
          <w:cantSplit/>
        </w:trPr>
        <w:tc>
          <w:tcPr>
            <w:tcW w:type="dxa" w:w="2245"/>
            <w:tcMar>
              <w:top w:type="dxa" w:w="70"/>
              <w:left w:type="dxa" w:w="100"/>
              <w:bottom w:type="dxa" w:w="70"/>
              <w:right w:type="dxa" w:w="100"/>
            </w:tcMar>
            <w:vAlign w:val="top"/>
          </w:tcPr>
          <w:p>
            <w:pPr>
              <w:spacing w:after="0" w:line="252"/>
              <w:jc w:val="left"/>
            </w:pPr>
            <w:r>
              <w:rPr>
                <w:sz w:val="22"/>
                <w:szCs w:val="22"/>
              </w:rPr>
              <w:t xml:space="preserve">December</w:t>
            </w:r>
          </w:p>
        </w:tc>
        <w:tc>
          <w:tcPr>
            <w:tcW w:type="dxa" w:w="3917"/>
            <w:tcMar>
              <w:top w:type="dxa" w:w="70"/>
              <w:left w:type="dxa" w:w="100"/>
              <w:bottom w:type="dxa" w:w="70"/>
              <w:right w:type="dxa" w:w="100"/>
            </w:tcMar>
            <w:vAlign w:val="top"/>
          </w:tcPr>
          <w:p>
            <w:pPr>
              <w:spacing w:after="0" w:line="252"/>
              <w:jc w:val="left"/>
            </w:pPr>
            <w:r>
              <w:rPr>
                <w:sz w:val="22"/>
                <w:szCs w:val="22"/>
              </w:rPr>
              <w:t xml:space="preserve">920</w:t>
            </w:r>
          </w:p>
        </w:tc>
        <w:tc>
          <w:tcPr>
            <w:tcW w:type="dxa" w:w="3918"/>
            <w:tcMar>
              <w:top w:type="dxa" w:w="70"/>
              <w:left w:type="dxa" w:w="100"/>
              <w:bottom w:type="dxa" w:w="70"/>
              <w:right w:type="dxa" w:w="100"/>
            </w:tcMar>
            <w:vAlign w:val="top"/>
          </w:tcPr>
          <w:p>
            <w:pPr>
              <w:spacing w:after="0" w:line="252"/>
              <w:jc w:val="left"/>
            </w:pPr>
            <w:r>
              <w:rPr>
                <w:sz w:val="22"/>
                <w:szCs w:val="22"/>
              </w:rPr>
              <w:t xml:space="preserve">1,200</w:t>
            </w:r>
          </w:p>
        </w:tc>
      </w:tr>
    </w:tbl>
    <w:p>
      <w:pPr>
        <w:spacing w:after="160" w:before="0"/>
      </w:pPr>
    </w:p>
    <w:p>
      <w:pPr>
        <w:spacing w:after="120" w:line="276"/>
      </w:pPr>
      <w:r>
        <w:rPr>
          <w:sz w:val="22"/>
          <w:szCs w:val="22"/>
        </w:rPr>
        <w:t xml:space="preserve">The annual median is 900 mg/L. Because there are twelve monthly medians and no single middle value, the annual median is the value halfway between the two middle ones, 880 and 920 mg/L.</w:t>
      </w:r>
    </w:p>
    <w:p>
      <w:pPr>
        <w:spacing w:after="120" w:line="276"/>
      </w:pPr>
      <w:r>
        <w:rPr>
          <w:i/>
          <w:iCs/>
          <w:sz w:val="22"/>
          <w:szCs w:val="22"/>
        </w:rPr>
        <w:t xml:space="preserve">Document 3, page 2. Notes on the record</w:t>
      </w:r>
    </w:p>
    <w:p>
      <w:pPr>
        <w:spacing w:after="120" w:line="276"/>
      </w:pPr>
      <w:r>
        <w:rPr>
          <w:sz w:val="22"/>
          <w:szCs w:val="22"/>
        </w:rPr>
        <w:t xml:space="preserve">The station's sensor recorded conductivity every 30 minutes, and the Department converted each reading to total dissolved solids. Station FC-2 is at channel marker 4, the location of proposed Outfall 001. On a rising tide, water in Ferrel Channel flows from the Nantwyck River toward the marsh interior, and on a falling tide it flows back toward the river. The highest reading in each month came within two hours of high tide. The saltiest months were August through October, when flow in the Nantwyck River was lowest. From September 8 through September 18, every reading at FC-2 was above 1,800 mg/L. The Department has no salinity record for any point in Ferrel Channel other than FC-2.</w:t>
      </w:r>
    </w:p>
    <w:p>
      <w:pPr>
        <w:keepNext/>
        <w:keepLines/>
        <w:spacing w:after="120" w:line="276"/>
      </w:pPr>
      <w:r>
        <w:rPr>
          <w:b/>
          <w:bCs/>
          <w:sz w:val="22"/>
          <w:szCs w:val="22"/>
        </w:rPr>
        <w:t xml:space="preserve">Document 4. Thurloe Marsh vegetation survey (summary)</w:t>
      </w:r>
    </w:p>
    <w:p>
      <w:pPr>
        <w:spacing w:after="120" w:line="276"/>
      </w:pPr>
      <w:r>
        <w:rPr>
          <w:i/>
          <w:iCs/>
          <w:sz w:val="22"/>
          <w:szCs w:val="22"/>
        </w:rPr>
        <w:t xml:space="preserve">Prepared by the Lower Nantwyck Conservation District and placed in the public file for this permit.</w:t>
      </w:r>
    </w:p>
    <w:p>
      <w:pPr>
        <w:spacing w:after="120" w:line="276"/>
      </w:pPr>
      <w:r>
        <w:rPr>
          <w:i/>
          <w:iCs/>
          <w:sz w:val="22"/>
          <w:szCs w:val="22"/>
        </w:rPr>
        <w:t xml:space="preserve">Document 4, page 1. Stations and plants</w:t>
      </w:r>
    </w:p>
    <w:p>
      <w:pPr>
        <w:spacing w:after="120" w:line="276"/>
      </w:pPr>
      <w:r>
        <w:rPr>
          <w:sz w:val="22"/>
          <w:szCs w:val="22"/>
        </w:rPr>
        <w:t xml:space="preserve">Survey crews visited six stations along Ferrel Channel from May through September and recorded the main plants growing at each station and the salinity of the channel water. Distances are measured along the channel from channel marker 4. Salinity was measured twice a month within one hour of high tide, so these readings run higher than all-day medians for the same location would.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45"/>
        <w:gridCol w:w="2202"/>
        <w:gridCol w:w="1045"/>
        <w:gridCol w:w="1045"/>
        <w:gridCol w:w="4743"/>
      </w:tblGrid>
      <w:tr>
        <w:trPr>
          <w:cantSplit/>
          <w:tblHeader/>
        </w:trPr>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Station</w:t>
            </w:r>
          </w:p>
        </w:tc>
        <w:tc>
          <w:tcPr>
            <w:tcW w:type="dxa" w:w="22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Distance from channel marker 4</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Median survey reading (mg/L)</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Highest survey reading (mg/L)</w:t>
            </w:r>
          </w:p>
        </w:tc>
        <w:tc>
          <w:tcPr>
            <w:tcW w:type="dxa" w:w="474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Main plants</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TM-1</w:t>
            </w:r>
          </w:p>
        </w:tc>
        <w:tc>
          <w:tcPr>
            <w:tcW w:type="dxa" w:w="2202"/>
            <w:tcMar>
              <w:top w:type="dxa" w:w="70"/>
              <w:left w:type="dxa" w:w="100"/>
              <w:bottom w:type="dxa" w:w="70"/>
              <w:right w:type="dxa" w:w="100"/>
            </w:tcMar>
            <w:vAlign w:val="top"/>
          </w:tcPr>
          <w:p>
            <w:pPr>
              <w:keepNext/>
              <w:spacing w:after="0" w:line="252"/>
              <w:jc w:val="left"/>
            </w:pPr>
            <w:r>
              <w:rPr>
                <w:sz w:val="20"/>
                <w:szCs w:val="20"/>
              </w:rPr>
              <w:t xml:space="preserve">300 m toward the river</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1,520</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2,720</w:t>
            </w:r>
          </w:p>
        </w:tc>
        <w:tc>
          <w:tcPr>
            <w:tcW w:type="dxa" w:w="4743"/>
            <w:tcMar>
              <w:top w:type="dxa" w:w="70"/>
              <w:left w:type="dxa" w:w="100"/>
              <w:bottom w:type="dxa" w:w="70"/>
              <w:right w:type="dxa" w:w="100"/>
            </w:tcMar>
            <w:vAlign w:val="top"/>
          </w:tcPr>
          <w:p>
            <w:pPr>
              <w:keepNext/>
              <w:spacing w:after="0" w:line="252"/>
              <w:jc w:val="left"/>
            </w:pPr>
            <w:r>
              <w:rPr>
                <w:sz w:val="20"/>
                <w:szCs w:val="20"/>
              </w:rPr>
              <w:t xml:space="preserve">Narrow-leaved cattail, three-square bulrush, big cordgrass</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TM-2</w:t>
            </w:r>
          </w:p>
        </w:tc>
        <w:tc>
          <w:tcPr>
            <w:tcW w:type="dxa" w:w="2202"/>
            <w:tcMar>
              <w:top w:type="dxa" w:w="70"/>
              <w:left w:type="dxa" w:w="100"/>
              <w:bottom w:type="dxa" w:w="70"/>
              <w:right w:type="dxa" w:w="100"/>
            </w:tcMar>
            <w:vAlign w:val="top"/>
          </w:tcPr>
          <w:p>
            <w:pPr>
              <w:keepNext/>
              <w:spacing w:after="0" w:line="252"/>
              <w:jc w:val="left"/>
            </w:pPr>
            <w:r>
              <w:rPr>
                <w:sz w:val="20"/>
                <w:szCs w:val="20"/>
              </w:rPr>
              <w:t xml:space="preserve">60 m toward the river</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1,240</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2,450</w:t>
            </w:r>
          </w:p>
        </w:tc>
        <w:tc>
          <w:tcPr>
            <w:tcW w:type="dxa" w:w="4743"/>
            <w:tcMar>
              <w:top w:type="dxa" w:w="70"/>
              <w:left w:type="dxa" w:w="100"/>
              <w:bottom w:type="dxa" w:w="70"/>
              <w:right w:type="dxa" w:w="100"/>
            </w:tcMar>
            <w:vAlign w:val="top"/>
          </w:tcPr>
          <w:p>
            <w:pPr>
              <w:keepNext/>
              <w:spacing w:after="0" w:line="252"/>
              <w:jc w:val="left"/>
            </w:pPr>
            <w:r>
              <w:rPr>
                <w:sz w:val="20"/>
                <w:szCs w:val="20"/>
              </w:rPr>
              <w:t xml:space="preserve">Narrow-leaved cattail, three-square bulrush, arrow arum</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TM-3</w:t>
            </w:r>
          </w:p>
        </w:tc>
        <w:tc>
          <w:tcPr>
            <w:tcW w:type="dxa" w:w="2202"/>
            <w:tcMar>
              <w:top w:type="dxa" w:w="70"/>
              <w:left w:type="dxa" w:w="100"/>
              <w:bottom w:type="dxa" w:w="70"/>
              <w:right w:type="dxa" w:w="100"/>
            </w:tcMar>
            <w:vAlign w:val="top"/>
          </w:tcPr>
          <w:p>
            <w:pPr>
              <w:keepNext/>
              <w:spacing w:after="0" w:line="252"/>
              <w:jc w:val="left"/>
            </w:pPr>
            <w:r>
              <w:rPr>
                <w:sz w:val="20"/>
                <w:szCs w:val="20"/>
              </w:rPr>
              <w:t xml:space="preserve">60 m toward the marsh interior</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1,010</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1,880</w:t>
            </w:r>
          </w:p>
        </w:tc>
        <w:tc>
          <w:tcPr>
            <w:tcW w:type="dxa" w:w="4743"/>
            <w:tcMar>
              <w:top w:type="dxa" w:w="70"/>
              <w:left w:type="dxa" w:w="100"/>
              <w:bottom w:type="dxa" w:w="70"/>
              <w:right w:type="dxa" w:w="100"/>
            </w:tcMar>
            <w:vAlign w:val="top"/>
          </w:tcPr>
          <w:p>
            <w:pPr>
              <w:keepNext/>
              <w:spacing w:after="0" w:line="252"/>
              <w:jc w:val="left"/>
            </w:pPr>
            <w:r>
              <w:rPr>
                <w:sz w:val="20"/>
                <w:szCs w:val="20"/>
              </w:rPr>
              <w:t xml:space="preserve">Wild rice in a dense bed of about 1.8 hectares, arrow arum, pickerelweed</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TM-4</w:t>
            </w:r>
          </w:p>
        </w:tc>
        <w:tc>
          <w:tcPr>
            <w:tcW w:type="dxa" w:w="2202"/>
            <w:tcMar>
              <w:top w:type="dxa" w:w="70"/>
              <w:left w:type="dxa" w:w="100"/>
              <w:bottom w:type="dxa" w:w="70"/>
              <w:right w:type="dxa" w:w="100"/>
            </w:tcMar>
            <w:vAlign w:val="top"/>
          </w:tcPr>
          <w:p>
            <w:pPr>
              <w:keepNext/>
              <w:spacing w:after="0" w:line="252"/>
              <w:jc w:val="left"/>
            </w:pPr>
            <w:r>
              <w:rPr>
                <w:sz w:val="20"/>
                <w:szCs w:val="20"/>
              </w:rPr>
              <w:t xml:space="preserve">140 m toward the marsh interior</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890</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1,640</w:t>
            </w:r>
          </w:p>
        </w:tc>
        <w:tc>
          <w:tcPr>
            <w:tcW w:type="dxa" w:w="4743"/>
            <w:tcMar>
              <w:top w:type="dxa" w:w="70"/>
              <w:left w:type="dxa" w:w="100"/>
              <w:bottom w:type="dxa" w:w="70"/>
              <w:right w:type="dxa" w:w="100"/>
            </w:tcMar>
            <w:vAlign w:val="top"/>
          </w:tcPr>
          <w:p>
            <w:pPr>
              <w:keepNext/>
              <w:spacing w:after="0" w:line="252"/>
              <w:jc w:val="left"/>
            </w:pPr>
            <w:r>
              <w:rPr>
                <w:sz w:val="20"/>
                <w:szCs w:val="20"/>
              </w:rPr>
              <w:t xml:space="preserve">Wild rice in a dense bed of about 2.6 hectares, pickerelweed, spatterdock</w:t>
            </w:r>
          </w:p>
        </w:tc>
      </w:tr>
      <w:tr>
        <w:trPr>
          <w:cantSplit/>
        </w:trPr>
        <w:tc>
          <w:tcPr>
            <w:tcW w:type="dxa" w:w="1045"/>
            <w:tcMar>
              <w:top w:type="dxa" w:w="70"/>
              <w:left w:type="dxa" w:w="100"/>
              <w:bottom w:type="dxa" w:w="70"/>
              <w:right w:type="dxa" w:w="100"/>
            </w:tcMar>
            <w:vAlign w:val="top"/>
          </w:tcPr>
          <w:p>
            <w:pPr>
              <w:keepNext/>
              <w:spacing w:after="0" w:line="252"/>
              <w:jc w:val="left"/>
            </w:pPr>
            <w:r>
              <w:rPr>
                <w:sz w:val="20"/>
                <w:szCs w:val="20"/>
              </w:rPr>
              <w:t xml:space="preserve">TM-5</w:t>
            </w:r>
          </w:p>
        </w:tc>
        <w:tc>
          <w:tcPr>
            <w:tcW w:type="dxa" w:w="2202"/>
            <w:tcMar>
              <w:top w:type="dxa" w:w="70"/>
              <w:left w:type="dxa" w:w="100"/>
              <w:bottom w:type="dxa" w:w="70"/>
              <w:right w:type="dxa" w:w="100"/>
            </w:tcMar>
            <w:vAlign w:val="top"/>
          </w:tcPr>
          <w:p>
            <w:pPr>
              <w:keepNext/>
              <w:spacing w:after="0" w:line="252"/>
              <w:jc w:val="left"/>
            </w:pPr>
            <w:r>
              <w:rPr>
                <w:sz w:val="20"/>
                <w:szCs w:val="20"/>
              </w:rPr>
              <w:t xml:space="preserve">400 m toward the marsh interior</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740</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1,260</w:t>
            </w:r>
          </w:p>
        </w:tc>
        <w:tc>
          <w:tcPr>
            <w:tcW w:type="dxa" w:w="4743"/>
            <w:tcMar>
              <w:top w:type="dxa" w:w="70"/>
              <w:left w:type="dxa" w:w="100"/>
              <w:bottom w:type="dxa" w:w="70"/>
              <w:right w:type="dxa" w:w="100"/>
            </w:tcMar>
            <w:vAlign w:val="top"/>
          </w:tcPr>
          <w:p>
            <w:pPr>
              <w:keepNext/>
              <w:spacing w:after="0" w:line="252"/>
              <w:jc w:val="left"/>
            </w:pPr>
            <w:r>
              <w:rPr>
                <w:sz w:val="20"/>
                <w:szCs w:val="20"/>
              </w:rPr>
              <w:t xml:space="preserve">Scattered wild rice, arrow arum, sweetflag</w:t>
            </w:r>
          </w:p>
        </w:tc>
      </w:tr>
      <w:tr>
        <w:trPr>
          <w:cantSplit/>
        </w:trPr>
        <w:tc>
          <w:tcPr>
            <w:tcW w:type="dxa" w:w="1045"/>
            <w:tcMar>
              <w:top w:type="dxa" w:w="70"/>
              <w:left w:type="dxa" w:w="100"/>
              <w:bottom w:type="dxa" w:w="70"/>
              <w:right w:type="dxa" w:w="100"/>
            </w:tcMar>
            <w:vAlign w:val="top"/>
          </w:tcPr>
          <w:p>
            <w:pPr>
              <w:spacing w:after="0" w:line="252"/>
              <w:jc w:val="left"/>
            </w:pPr>
            <w:r>
              <w:rPr>
                <w:sz w:val="20"/>
                <w:szCs w:val="20"/>
              </w:rPr>
              <w:t xml:space="preserve">TM-6</w:t>
            </w:r>
          </w:p>
        </w:tc>
        <w:tc>
          <w:tcPr>
            <w:tcW w:type="dxa" w:w="2202"/>
            <w:tcMar>
              <w:top w:type="dxa" w:w="70"/>
              <w:left w:type="dxa" w:w="100"/>
              <w:bottom w:type="dxa" w:w="70"/>
              <w:right w:type="dxa" w:w="100"/>
            </w:tcMar>
            <w:vAlign w:val="top"/>
          </w:tcPr>
          <w:p>
            <w:pPr>
              <w:spacing w:after="0" w:line="252"/>
              <w:jc w:val="left"/>
            </w:pPr>
            <w:r>
              <w:rPr>
                <w:sz w:val="20"/>
                <w:szCs w:val="20"/>
              </w:rPr>
              <w:t xml:space="preserve">900 m toward the marsh interior</w:t>
            </w:r>
          </w:p>
        </w:tc>
        <w:tc>
          <w:tcPr>
            <w:tcW w:type="dxa" w:w="1045"/>
            <w:tcMar>
              <w:top w:type="dxa" w:w="70"/>
              <w:left w:type="dxa" w:w="100"/>
              <w:bottom w:type="dxa" w:w="70"/>
              <w:right w:type="dxa" w:w="100"/>
            </w:tcMar>
            <w:vAlign w:val="top"/>
          </w:tcPr>
          <w:p>
            <w:pPr>
              <w:spacing w:after="0" w:line="252"/>
              <w:jc w:val="left"/>
            </w:pPr>
            <w:r>
              <w:rPr>
                <w:sz w:val="20"/>
                <w:szCs w:val="20"/>
              </w:rPr>
              <w:t xml:space="preserve">560</w:t>
            </w:r>
          </w:p>
        </w:tc>
        <w:tc>
          <w:tcPr>
            <w:tcW w:type="dxa" w:w="1045"/>
            <w:tcMar>
              <w:top w:type="dxa" w:w="70"/>
              <w:left w:type="dxa" w:w="100"/>
              <w:bottom w:type="dxa" w:w="70"/>
              <w:right w:type="dxa" w:w="100"/>
            </w:tcMar>
            <w:vAlign w:val="top"/>
          </w:tcPr>
          <w:p>
            <w:pPr>
              <w:spacing w:after="0" w:line="252"/>
              <w:jc w:val="left"/>
            </w:pPr>
            <w:r>
              <w:rPr>
                <w:sz w:val="20"/>
                <w:szCs w:val="20"/>
              </w:rPr>
              <w:t xml:space="preserve">910</w:t>
            </w:r>
          </w:p>
        </w:tc>
        <w:tc>
          <w:tcPr>
            <w:tcW w:type="dxa" w:w="4743"/>
            <w:tcMar>
              <w:top w:type="dxa" w:w="70"/>
              <w:left w:type="dxa" w:w="100"/>
              <w:bottom w:type="dxa" w:w="70"/>
              <w:right w:type="dxa" w:w="100"/>
            </w:tcMar>
            <w:vAlign w:val="top"/>
          </w:tcPr>
          <w:p>
            <w:pPr>
              <w:spacing w:after="0" w:line="252"/>
              <w:jc w:val="left"/>
            </w:pPr>
            <w:r>
              <w:rPr>
                <w:sz w:val="20"/>
                <w:szCs w:val="20"/>
              </w:rPr>
              <w:t xml:space="preserve">Spatterdock, pickerelweed, sweetflag, scattered wild rice</w:t>
            </w:r>
          </w:p>
        </w:tc>
      </w:tr>
    </w:tbl>
    <w:p>
      <w:pPr>
        <w:spacing w:after="160" w:before="0"/>
      </w:pPr>
    </w:p>
    <w:p>
      <w:pPr>
        <w:spacing w:after="120" w:line="276"/>
      </w:pPr>
      <w:r>
        <w:rPr>
          <w:i/>
          <w:iCs/>
          <w:sz w:val="22"/>
          <w:szCs w:val="22"/>
        </w:rPr>
        <w:t xml:space="preserve">Document 4, page 2. Findings</w:t>
      </w:r>
    </w:p>
    <w:p>
      <w:pPr>
        <w:spacing w:after="120" w:line="276"/>
      </w:pPr>
      <w:r>
        <w:rPr>
          <w:sz w:val="22"/>
          <w:szCs w:val="22"/>
        </w:rPr>
        <w:t xml:space="preserve">Wild rice grew at all four stations where the highest survey reading stayed below 2,000 mg/L, and it was absent from both stations where the highest reading went above 2,400 mg/L. The dense beds at TM-3 and TM-4 together cover about 4.4 hectares, roughly 70 percent of the 6.3 hectares of wild rice mapped in Thurloe Marsh. These two beds are the main fall feeding area in the marsh for migrating ducks.</w:t>
      </w:r>
    </w:p>
    <w:p>
      <w:pPr>
        <w:spacing w:after="120" w:line="276"/>
      </w:pPr>
      <w:r>
        <w:rPr>
          <w:sz w:val="22"/>
          <w:szCs w:val="22"/>
        </w:rPr>
        <w:t xml:space="preserve">In tank trials run by the survey team, wild rice seed sprouted at the normal rate in water up to 1,500 mg/L, at about half the normal rate at 2,500 mg/L, and almost not at all at 4,000 mg/L. Young plants recovered from peaks above 2,000 mg/L that lasted a few hours around high tide, but they died back when kept above 2,000 mg/L for seven days or longer.</w:t>
      </w:r>
    </w:p>
    <w:p>
      <w:pPr>
        <w:spacing w:after="120" w:line="276"/>
      </w:pPr>
      <w:r>
        <w:rPr>
          <w:sz w:val="22"/>
          <w:szCs w:val="22"/>
        </w:rPr>
        <w:t xml:space="preserve">The survey did not measure salinity outside the May-to-September growing season, and it did not estimate how the proposed discharge would mix in the channel.</w:t>
      </w:r>
    </w:p>
    <w:p>
      <w:pPr>
        <w:keepNext/>
        <w:keepLines/>
        <w:spacing w:after="120" w:line="276"/>
      </w:pPr>
      <w:r>
        <w:rPr>
          <w:b/>
          <w:bCs/>
          <w:sz w:val="22"/>
          <w:szCs w:val="22"/>
        </w:rPr>
        <w:t xml:space="preserve">Document 5. Public notice of Draft Permit TW-0418</w:t>
      </w:r>
    </w:p>
    <w:p>
      <w:pPr>
        <w:spacing w:after="120" w:line="276"/>
      </w:pPr>
      <w:r>
        <w:rPr>
          <w:i/>
          <w:iCs/>
          <w:sz w:val="22"/>
          <w:szCs w:val="22"/>
        </w:rPr>
        <w:t xml:space="preserve">Document 5, page 1</w:t>
      </w:r>
    </w:p>
    <w:p>
      <w:pPr>
        <w:spacing w:after="120" w:line="276"/>
      </w:pPr>
      <w:r>
        <w:rPr>
          <w:sz w:val="22"/>
          <w:szCs w:val="22"/>
        </w:rPr>
        <w:t xml:space="preserve">The State Department of Water Quality has prepared a draft permit for the discharge of reverse osmosis concentrate from the Nantwyck Brackish Water Treatment Plant to Ferrel Channel in Thurloe Marsh. The draft permit, the application, and the Department's monitoring record may be read at the Nantwyck Public Library or requested from the Permits Section.</w:t>
      </w:r>
    </w:p>
    <w:p>
      <w:pPr>
        <w:spacing w:after="120" w:line="276"/>
      </w:pPr>
      <w:r>
        <w:rPr>
          <w:sz w:val="22"/>
          <w:szCs w:val="22"/>
        </w:rPr>
        <w:t xml:space="preserve">Comment period. Written comments will be accepted for 30 days from the date of this notice and must be received by 5:00 p.m. on the final day.</w:t>
      </w:r>
    </w:p>
    <w:p>
      <w:pPr>
        <w:spacing w:after="120" w:line="276"/>
      </w:pPr>
      <w:r>
        <w:rPr>
          <w:sz w:val="22"/>
          <w:szCs w:val="22"/>
        </w:rPr>
        <w:t xml:space="preserve">How to comment. Send comments to the Permits Section by mail or by email. Each comment must include the commenter's name and mailing address. A comment should name the permit condition it concerns by part and letter, state the change requested, and give the facts or reasons that support the change.</w:t>
      </w:r>
    </w:p>
    <w:p>
      <w:pPr>
        <w:spacing w:after="120" w:line="276"/>
      </w:pPr>
      <w:r>
        <w:rPr>
          <w:sz w:val="22"/>
          <w:szCs w:val="22"/>
        </w:rPr>
        <w:t xml:space="preserve">What the Department will do. The Department will consider every comment received on time before it makes a final decision. With the final permit, the Department will issue a responsiveness summary that answers each significant comment. A significant comment is one that identifies a specific permit condition and gives facts or reasons why it should change. Comments that state general support for or opposition to the project will be counted and acknowledged but will not be answered individually. The Department may change the draft permit in response to comments, but it is not required to adopt any change a commenter requests.</w:t>
      </w:r>
    </w:p>
    <w:p>
      <w:pPr>
        <w:spacing w:after="120" w:line="276"/>
      </w:pPr>
      <w:r>
        <w:rPr>
          <w:sz w:val="22"/>
          <w:szCs w:val="22"/>
        </w:rPr>
        <w:t xml:space="preserve">Public hearing. The Department will hold a public hearing if it receives written requests from 25 or more persons during the comment period.</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find the condition.</w:t>
      </w:r>
      <w:r>
        <w:rPr>
          <w:sz w:val="22"/>
          <w:szCs w:val="22"/>
        </w:rPr>
        <w:t xml:space="preserve"> Each student reads the packet and submits a one-page reading note that lists all five permit conditions in Document 1 with one line on what each controls, names the one they chose, and gives one sentence saying what would go wrong if that condition stayed as written.</w:t>
      </w:r>
    </w:p>
    <w:p>
      <w:pPr>
        <w:pStyle w:val="ListParagraph"/>
        <w:keepLines/>
        <w:numPr>
          <w:ilvl w:val="0"/>
          <w:numId w:val="5"/>
        </w:numPr>
        <w:spacing w:after="60" w:line="276"/>
        <w:ind w:left="720" w:hanging="360"/>
      </w:pPr>
      <w:r>
        <w:rPr>
          <w:b/>
          <w:bCs/>
          <w:sz w:val="22"/>
          <w:szCs w:val="22"/>
        </w:rPr>
        <w:t xml:space="preserve">Session 2, build the record.</w:t>
      </w:r>
      <w:r>
        <w:rPr>
          <w:sz w:val="22"/>
          <w:szCs w:val="22"/>
        </w:rPr>
        <w:t xml:space="preserve"> Each student submits an evidence sheet with at least six cited items from the packet, each tied to the chosen condition and each cited by document and page. At least one item must come from each of Documents 1, 3, and 4, and the sheet ends with a note on which document is silent on the point.</w:t>
      </w:r>
    </w:p>
    <w:p>
      <w:pPr>
        <w:pStyle w:val="ListParagraph"/>
        <w:keepLines/>
        <w:numPr>
          <w:ilvl w:val="0"/>
          <w:numId w:val="5"/>
        </w:numPr>
        <w:spacing w:after="60" w:line="276"/>
        <w:ind w:left="720" w:hanging="360"/>
      </w:pPr>
      <w:r>
        <w:rPr>
          <w:b/>
          <w:bCs/>
          <w:sz w:val="22"/>
          <w:szCs w:val="22"/>
        </w:rPr>
        <w:t xml:space="preserve">Session 3, draft and shift register.</w:t>
      </w:r>
      <w:r>
        <w:rPr>
          <w:sz w:val="22"/>
          <w:szCs w:val="22"/>
        </w:rPr>
        <w:t xml:space="preserve"> Each student submits the formal comment in full and the 250-word neighbor version. The two are read side by side by a partner, who marks any claim that changed meaning between them.</w:t>
      </w:r>
    </w:p>
    <w:p>
      <w:pPr>
        <w:pStyle w:val="ListParagraph"/>
        <w:keepLines/>
        <w:numPr>
          <w:ilvl w:val="0"/>
          <w:numId w:val="5"/>
        </w:numPr>
        <w:spacing w:after="60" w:line="276"/>
        <w:ind w:left="720" w:hanging="360"/>
      </w:pPr>
      <w:r>
        <w:rPr>
          <w:b/>
          <w:bCs/>
          <w:sz w:val="22"/>
          <w:szCs w:val="22"/>
        </w:rPr>
        <w:t xml:space="preserve">Session 4, predict and present.</w:t>
      </w:r>
      <w:r>
        <w:rPr>
          <w:sz w:val="22"/>
          <w:szCs w:val="22"/>
        </w:rPr>
        <w:t xml:space="preserve"> Each student submits the response prediction and reads the comment's first paragraph to the panel, then answers one question from the permit writer about the proposed replacement language.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Public Comment on the Thurloe Marsh Concentrate Permit</w:t>
      </w:r>
    </w:p>
    <w:p>
      <w:pPr>
        <w:keepNext/>
        <w:spacing w:after="160"/>
      </w:pPr>
      <w:r>
        <w:rPr>
          <w:color w:val="5B6B70"/>
          <w:sz w:val="20"/>
          <w:szCs w:val="20"/>
        </w:rPr>
        <w:t xml:space="preserve">Project · Grade 11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356"/>
        <w:gridCol w:w="2549"/>
        <w:gridCol w:w="3750"/>
        <w:gridCol w:w="3756"/>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5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Focus on one condition</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The comment objects to the project generally.</w:t>
            </w:r>
          </w:p>
        </w:tc>
        <w:tc>
          <w:tcPr>
            <w:tcW w:type="dxa" w:w="2549"/>
            <w:tcMar>
              <w:top w:type="dxa" w:w="70"/>
              <w:left w:type="dxa" w:w="100"/>
              <w:bottom w:type="dxa" w:w="70"/>
              <w:right w:type="dxa" w:w="100"/>
            </w:tcMar>
            <w:vAlign w:val="top"/>
          </w:tcPr>
          <w:p>
            <w:pPr>
              <w:keepNext/>
              <w:spacing w:after="0" w:line="252"/>
              <w:jc w:val="left"/>
            </w:pPr>
            <w:r>
              <w:rPr>
                <w:sz w:val="20"/>
                <w:szCs w:val="20"/>
              </w:rPr>
              <w:t xml:space="preserve">One condition is named but the comment drifts.</w:t>
            </w:r>
          </w:p>
        </w:tc>
        <w:tc>
          <w:tcPr>
            <w:tcW w:type="dxa" w:w="3750"/>
            <w:tcMar>
              <w:top w:type="dxa" w:w="70"/>
              <w:left w:type="dxa" w:w="100"/>
              <w:bottom w:type="dxa" w:w="70"/>
              <w:right w:type="dxa" w:w="100"/>
            </w:tcMar>
            <w:vAlign w:val="top"/>
          </w:tcPr>
          <w:p>
            <w:pPr>
              <w:keepNext/>
              <w:spacing w:after="0" w:line="252"/>
              <w:jc w:val="left"/>
            </w:pPr>
            <w:r>
              <w:rPr>
                <w:sz w:val="20"/>
                <w:szCs w:val="20"/>
              </w:rPr>
              <w:t xml:space="preserve">One condition from Document 1 is named in the first paragraph and every paragraph serves it.</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The single condition is chosen because changing it would change the most, and the comment says so.</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Use of the record</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Claims appear without citation.</w:t>
            </w:r>
          </w:p>
        </w:tc>
        <w:tc>
          <w:tcPr>
            <w:tcW w:type="dxa" w:w="2549"/>
            <w:tcMar>
              <w:top w:type="dxa" w:w="70"/>
              <w:left w:type="dxa" w:w="100"/>
              <w:bottom w:type="dxa" w:w="70"/>
              <w:right w:type="dxa" w:w="100"/>
            </w:tcMar>
            <w:vAlign w:val="top"/>
          </w:tcPr>
          <w:p>
            <w:pPr>
              <w:keepNext/>
              <w:spacing w:after="0" w:line="252"/>
              <w:jc w:val="left"/>
            </w:pPr>
            <w:r>
              <w:rPr>
                <w:sz w:val="20"/>
                <w:szCs w:val="20"/>
              </w:rPr>
              <w:t xml:space="preserve">Some claims are cited, others asserted.</w:t>
            </w:r>
          </w:p>
        </w:tc>
        <w:tc>
          <w:tcPr>
            <w:tcW w:type="dxa" w:w="3750"/>
            <w:tcMar>
              <w:top w:type="dxa" w:w="70"/>
              <w:left w:type="dxa" w:w="100"/>
              <w:bottom w:type="dxa" w:w="70"/>
              <w:right w:type="dxa" w:w="100"/>
            </w:tcMar>
            <w:vAlign w:val="top"/>
          </w:tcPr>
          <w:p>
            <w:pPr>
              <w:keepNext/>
              <w:spacing w:after="0" w:line="252"/>
              <w:jc w:val="left"/>
            </w:pPr>
            <w:r>
              <w:rPr>
                <w:sz w:val="20"/>
                <w:szCs w:val="20"/>
              </w:rPr>
              <w:t xml:space="preserve">Every factual claim carries a document and page citation.</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Citations are used against each other, so a gap between documents, such as the varying concentrate quality on Document 2, page 1 against the once-a-month sample on Document 1, page 2, becomes the argument.</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Proposed language</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No replacement language, or a vague request to be stricter.</w:t>
            </w:r>
          </w:p>
        </w:tc>
        <w:tc>
          <w:tcPr>
            <w:tcW w:type="dxa" w:w="2549"/>
            <w:tcMar>
              <w:top w:type="dxa" w:w="70"/>
              <w:left w:type="dxa" w:w="100"/>
              <w:bottom w:type="dxa" w:w="70"/>
              <w:right w:type="dxa" w:w="100"/>
            </w:tcMar>
            <w:vAlign w:val="top"/>
          </w:tcPr>
          <w:p>
            <w:pPr>
              <w:keepNext/>
              <w:spacing w:after="0" w:line="252"/>
              <w:jc w:val="left"/>
            </w:pPr>
            <w:r>
              <w:rPr>
                <w:sz w:val="20"/>
                <w:szCs w:val="20"/>
              </w:rPr>
              <w:t xml:space="preserve">Replacement language is offered but would not fix the problem.</w:t>
            </w:r>
          </w:p>
        </w:tc>
        <w:tc>
          <w:tcPr>
            <w:tcW w:type="dxa" w:w="3750"/>
            <w:tcMar>
              <w:top w:type="dxa" w:w="70"/>
              <w:left w:type="dxa" w:w="100"/>
              <w:bottom w:type="dxa" w:w="70"/>
              <w:right w:type="dxa" w:w="100"/>
            </w:tcMar>
            <w:vAlign w:val="top"/>
          </w:tcPr>
          <w:p>
            <w:pPr>
              <w:keepNext/>
              <w:spacing w:after="0" w:line="252"/>
              <w:jc w:val="left"/>
            </w:pPr>
            <w:r>
              <w:rPr>
                <w:sz w:val="20"/>
                <w:szCs w:val="20"/>
              </w:rPr>
              <w:t xml:space="preserve">Replacement language is written as a usable sentence and fixes the identified problem.</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The replacement anticipates how it could be met cheaply and closes that path in the wording itself.</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Answering the agency</w:t>
            </w:r>
          </w:p>
        </w:tc>
        <w:tc>
          <w:tcPr>
            <w:tcW w:type="dxa" w:w="2356"/>
            <w:tcMar>
              <w:top w:type="dxa" w:w="70"/>
              <w:left w:type="dxa" w:w="100"/>
              <w:bottom w:type="dxa" w:w="70"/>
              <w:right w:type="dxa" w:w="100"/>
            </w:tcMar>
            <w:vAlign w:val="top"/>
          </w:tcPr>
          <w:p>
            <w:pPr>
              <w:keepNext/>
              <w:spacing w:after="0" w:line="252"/>
              <w:jc w:val="left"/>
            </w:pPr>
            <w:r>
              <w:rPr>
                <w:sz w:val="20"/>
                <w:szCs w:val="20"/>
              </w:rPr>
              <w:t xml:space="preserve">The likely response is ignored.</w:t>
            </w:r>
          </w:p>
        </w:tc>
        <w:tc>
          <w:tcPr>
            <w:tcW w:type="dxa" w:w="2549"/>
            <w:tcMar>
              <w:top w:type="dxa" w:w="70"/>
              <w:left w:type="dxa" w:w="100"/>
              <w:bottom w:type="dxa" w:w="70"/>
              <w:right w:type="dxa" w:w="100"/>
            </w:tcMar>
            <w:vAlign w:val="top"/>
          </w:tcPr>
          <w:p>
            <w:pPr>
              <w:keepNext/>
              <w:spacing w:after="0" w:line="252"/>
              <w:jc w:val="left"/>
            </w:pPr>
            <w:r>
              <w:rPr>
                <w:sz w:val="20"/>
                <w:szCs w:val="20"/>
              </w:rPr>
              <w:t xml:space="preserve">The response is named but answered by restating the claim.</w:t>
            </w:r>
          </w:p>
        </w:tc>
        <w:tc>
          <w:tcPr>
            <w:tcW w:type="dxa" w:w="3750"/>
            <w:tcMar>
              <w:top w:type="dxa" w:w="70"/>
              <w:left w:type="dxa" w:w="100"/>
              <w:bottom w:type="dxa" w:w="70"/>
              <w:right w:type="dxa" w:w="100"/>
            </w:tcMar>
            <w:vAlign w:val="top"/>
          </w:tcPr>
          <w:p>
            <w:pPr>
              <w:keepNext/>
              <w:spacing w:after="0" w:line="252"/>
              <w:jc w:val="left"/>
            </w:pPr>
            <w:r>
              <w:rPr>
                <w:sz w:val="20"/>
                <w:szCs w:val="20"/>
              </w:rPr>
              <w:t xml:space="preserve">The strongest likely response, usually the basis stated on Document 1, page 1, is stated fairly and answered with cited evidence.</w:t>
            </w:r>
          </w:p>
        </w:tc>
        <w:tc>
          <w:tcPr>
            <w:tcW w:type="dxa" w:w="3756"/>
            <w:tcMar>
              <w:top w:type="dxa" w:w="70"/>
              <w:left w:type="dxa" w:w="100"/>
              <w:bottom w:type="dxa" w:w="70"/>
              <w:right w:type="dxa" w:w="100"/>
            </w:tcMar>
            <w:vAlign w:val="top"/>
          </w:tcPr>
          <w:p>
            <w:pPr>
              <w:keepNext/>
              <w:spacing w:after="0" w:line="252"/>
              <w:jc w:val="left"/>
            </w:pPr>
            <w:r>
              <w:rPr>
                <w:sz w:val="20"/>
                <w:szCs w:val="20"/>
              </w:rPr>
              <w:t xml:space="preserve">The response is stated in its most convincing form, and the answer concedes what it must while holding the request.</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Register shift</w:t>
            </w:r>
          </w:p>
        </w:tc>
        <w:tc>
          <w:tcPr>
            <w:tcW w:type="dxa" w:w="2356"/>
            <w:tcMar>
              <w:top w:type="dxa" w:w="70"/>
              <w:left w:type="dxa" w:w="100"/>
              <w:bottom w:type="dxa" w:w="70"/>
              <w:right w:type="dxa" w:w="100"/>
            </w:tcMar>
            <w:vAlign w:val="top"/>
          </w:tcPr>
          <w:p>
            <w:pPr>
              <w:spacing w:after="0" w:line="252"/>
              <w:jc w:val="left"/>
            </w:pPr>
            <w:r>
              <w:rPr>
                <w:sz w:val="20"/>
                <w:szCs w:val="20"/>
              </w:rPr>
              <w:t xml:space="preserve">The neighbor version is the formal comment with words removed.</w:t>
            </w:r>
          </w:p>
        </w:tc>
        <w:tc>
          <w:tcPr>
            <w:tcW w:type="dxa" w:w="2549"/>
            <w:tcMar>
              <w:top w:type="dxa" w:w="70"/>
              <w:left w:type="dxa" w:w="100"/>
              <w:bottom w:type="dxa" w:w="70"/>
              <w:right w:type="dxa" w:w="100"/>
            </w:tcMar>
            <w:vAlign w:val="top"/>
          </w:tcPr>
          <w:p>
            <w:pPr>
              <w:spacing w:after="0" w:line="252"/>
              <w:jc w:val="left"/>
            </w:pPr>
            <w:r>
              <w:rPr>
                <w:sz w:val="20"/>
                <w:szCs w:val="20"/>
              </w:rPr>
              <w:t xml:space="preserve">The neighbor version is simpler but loses accuracy.</w:t>
            </w:r>
          </w:p>
        </w:tc>
        <w:tc>
          <w:tcPr>
            <w:tcW w:type="dxa" w:w="3750"/>
            <w:tcMar>
              <w:top w:type="dxa" w:w="70"/>
              <w:left w:type="dxa" w:w="100"/>
              <w:bottom w:type="dxa" w:w="70"/>
              <w:right w:type="dxa" w:w="100"/>
            </w:tcMar>
            <w:vAlign w:val="top"/>
          </w:tcPr>
          <w:p>
            <w:pPr>
              <w:spacing w:after="0" w:line="252"/>
              <w:jc w:val="left"/>
            </w:pPr>
            <w:r>
              <w:rPr>
                <w:sz w:val="20"/>
                <w:szCs w:val="20"/>
              </w:rPr>
              <w:t xml:space="preserve">The neighbor version is accurate, under 250 words, and defines every term it uses.</w:t>
            </w:r>
          </w:p>
        </w:tc>
        <w:tc>
          <w:tcPr>
            <w:tcW w:type="dxa" w:w="3756"/>
            <w:tcMar>
              <w:top w:type="dxa" w:w="70"/>
              <w:left w:type="dxa" w:w="100"/>
              <w:bottom w:type="dxa" w:w="70"/>
              <w:right w:type="dxa" w:w="100"/>
            </w:tcMar>
            <w:vAlign w:val="top"/>
          </w:tcPr>
          <w:p>
            <w:pPr>
              <w:spacing w:after="0" w:line="252"/>
              <w:jc w:val="left"/>
            </w:pPr>
            <w:r>
              <w:rPr>
                <w:sz w:val="20"/>
                <w:szCs w:val="20"/>
              </w:rPr>
              <w:t xml:space="preserve">The neighbor version reorders the argument for a reader whose first question is different, and the reordering is defensible.</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00" w:line="264"/>
      </w:pPr>
      <w:r>
        <w:rPr>
          <w:b/>
          <w:bCs/>
          <w:sz w:val="22"/>
          <w:szCs w:val="22"/>
        </w:rPr>
        <w:t xml:space="preserve">Teacher reference: where the record speaks to each condition</w:t>
      </w:r>
    </w:p>
    <w:p>
      <w:pPr>
        <w:keepNext/>
        <w:keepLines/>
        <w:spacing w:after="100" w:line="264"/>
      </w:pPr>
      <w:r>
        <w:rPr>
          <w:sz w:val="22"/>
          <w:szCs w:val="22"/>
        </w:rPr>
        <w:t xml:space="preserve">Use this table to check reading notes, evidence sheets, and the "Use of the record" row. It lists the strongest line of argument for each condition, not the only acceptable 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8"/>
        <w:gridCol w:w="2849"/>
        <w:gridCol w:w="2665"/>
        <w:gridCol w:w="2818"/>
      </w:tblGrid>
      <w:tr>
        <w:trPr>
          <w:cantSplit/>
          <w:tblHeader/>
        </w:trPr>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Condition</w:t>
            </w:r>
          </w:p>
        </w:tc>
        <w:tc>
          <w:tcPr>
            <w:tcW w:type="dxa" w:w="28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the record supports</w:t>
            </w:r>
          </w:p>
        </w:tc>
        <w:tc>
          <w:tcPr>
            <w:tcW w:type="dxa" w:w="26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Key citations</w:t>
            </w:r>
          </w:p>
        </w:tc>
        <w:tc>
          <w:tcPr>
            <w:tcW w:type="dxa" w:w="28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Agency's likely response</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1. Concentration limit</w:t>
            </w:r>
          </w:p>
        </w:tc>
        <w:tc>
          <w:tcPr>
            <w:tcW w:type="dxa" w:w="2849"/>
            <w:tcMar>
              <w:top w:type="dxa" w:w="70"/>
              <w:left w:type="dxa" w:w="100"/>
              <w:bottom w:type="dxa" w:w="70"/>
              <w:right w:type="dxa" w:w="100"/>
            </w:tcMar>
            <w:vAlign w:val="top"/>
          </w:tcPr>
          <w:p>
            <w:pPr>
              <w:spacing w:after="0" w:line="252"/>
              <w:jc w:val="left"/>
            </w:pPr>
            <w:r>
              <w:rPr>
                <w:sz w:val="22"/>
                <w:szCs w:val="22"/>
              </w:rPr>
              <w:t xml:space="preserve">The limit applies after blending, and blending in any ratio is allowed, so the limit can be met by adding river water while about 108,000 pounds of dissolved solids a day still reach the channel. A saltier concentrate is handled by adding more river water rather than by releasing less salt. Strong replacement language adds a mass limit in pounds per day, or applies a limit before blending. The limit itself is also the level at which wild rice seed sprouts at about half the normal rate.</w:t>
            </w:r>
          </w:p>
        </w:tc>
        <w:tc>
          <w:tcPr>
            <w:tcW w:type="dxa" w:w="2665"/>
            <w:tcMar>
              <w:top w:type="dxa" w:w="70"/>
              <w:left w:type="dxa" w:w="100"/>
              <w:bottom w:type="dxa" w:w="70"/>
              <w:right w:type="dxa" w:w="100"/>
            </w:tcMar>
            <w:vAlign w:val="top"/>
          </w:tcPr>
          <w:p>
            <w:pPr>
              <w:spacing w:after="0" w:line="252"/>
              <w:jc w:val="left"/>
            </w:pPr>
            <w:r>
              <w:rPr>
                <w:sz w:val="22"/>
                <w:szCs w:val="22"/>
              </w:rPr>
              <w:t xml:space="preserve">Document 1, page 2; Document 2, pages 1 and 2; Document 4, page 2</w:t>
            </w:r>
          </w:p>
        </w:tc>
        <w:tc>
          <w:tcPr>
            <w:tcW w:type="dxa" w:w="2818"/>
            <w:tcMar>
              <w:top w:type="dxa" w:w="70"/>
              <w:left w:type="dxa" w:w="100"/>
              <w:bottom w:type="dxa" w:w="70"/>
              <w:right w:type="dxa" w:w="100"/>
            </w:tcMar>
            <w:vAlign w:val="top"/>
          </w:tcPr>
          <w:p>
            <w:pPr>
              <w:spacing w:after="0" w:line="252"/>
              <w:jc w:val="left"/>
            </w:pPr>
            <w:r>
              <w:rPr>
                <w:sz w:val="22"/>
                <w:szCs w:val="22"/>
              </w:rPr>
              <w:t xml:space="preserve">The 2,500 mg/L limit matches other brackish-water plants (Document 1, page 1).</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2. Monitoring frequency</w:t>
            </w:r>
          </w:p>
        </w:tc>
        <w:tc>
          <w:tcPr>
            <w:tcW w:type="dxa" w:w="2849"/>
            <w:tcMar>
              <w:top w:type="dxa" w:w="70"/>
              <w:left w:type="dxa" w:w="100"/>
              <w:bottom w:type="dxa" w:w="70"/>
              <w:right w:type="dxa" w:w="100"/>
            </w:tcMar>
            <w:vAlign w:val="top"/>
          </w:tcPr>
          <w:p>
            <w:pPr>
              <w:spacing w:after="0" w:line="252"/>
              <w:jc w:val="left"/>
            </w:pPr>
            <w:r>
              <w:rPr>
                <w:sz w:val="22"/>
                <w:szCs w:val="22"/>
              </w:rPr>
              <w:t xml:space="preserve">One sample a month, at an hour the permittee chooses, cannot show peaks. The channel's monthly highs run well above its monthly medians, readings stayed above 1,800 mg/L for eleven days in September, and the application says concentrate quality and the blend ratio will change. Strong replacement language requires continuous conductivity and flow monitoring at the outfall, reported as a daily maximum.</w:t>
            </w:r>
          </w:p>
        </w:tc>
        <w:tc>
          <w:tcPr>
            <w:tcW w:type="dxa" w:w="2665"/>
            <w:tcMar>
              <w:top w:type="dxa" w:w="70"/>
              <w:left w:type="dxa" w:w="100"/>
              <w:bottom w:type="dxa" w:w="70"/>
              <w:right w:type="dxa" w:w="100"/>
            </w:tcMar>
            <w:vAlign w:val="top"/>
          </w:tcPr>
          <w:p>
            <w:pPr>
              <w:spacing w:after="0" w:line="252"/>
              <w:jc w:val="left"/>
            </w:pPr>
            <w:r>
              <w:rPr>
                <w:sz w:val="22"/>
                <w:szCs w:val="22"/>
              </w:rPr>
              <w:t xml:space="preserve">Document 1, page 2; Document 2, pages 1 and 2; Document 3, pages 1 and 2; Document 4, page 2</w:t>
            </w:r>
          </w:p>
        </w:tc>
        <w:tc>
          <w:tcPr>
            <w:tcW w:type="dxa" w:w="2818"/>
            <w:tcMar>
              <w:top w:type="dxa" w:w="70"/>
              <w:left w:type="dxa" w:w="100"/>
              <w:bottom w:type="dxa" w:w="70"/>
              <w:right w:type="dxa" w:w="100"/>
            </w:tcMar>
            <w:vAlign w:val="top"/>
          </w:tcPr>
          <w:p>
            <w:pPr>
              <w:spacing w:after="0" w:line="252"/>
              <w:jc w:val="left"/>
            </w:pPr>
            <w:r>
              <w:rPr>
                <w:sz w:val="22"/>
                <w:szCs w:val="22"/>
              </w:rPr>
              <w:t xml:space="preserve">Monthly sampling is the standard for discharges under 10 million gallons per day (Document 1, page 1).</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3. Outfall location</w:t>
            </w:r>
          </w:p>
        </w:tc>
        <w:tc>
          <w:tcPr>
            <w:tcW w:type="dxa" w:w="2849"/>
            <w:tcMar>
              <w:top w:type="dxa" w:w="70"/>
              <w:left w:type="dxa" w:w="100"/>
              <w:bottom w:type="dxa" w:w="70"/>
              <w:right w:type="dxa" w:w="100"/>
            </w:tcMar>
            <w:vAlign w:val="top"/>
          </w:tcPr>
          <w:p>
            <w:pPr>
              <w:spacing w:after="0" w:line="252"/>
              <w:jc w:val="left"/>
            </w:pPr>
            <w:r>
              <w:rPr>
                <w:sz w:val="22"/>
                <w:szCs w:val="22"/>
              </w:rPr>
              <w:t xml:space="preserve">The outfall sits 60 and 140 meters from stations TM-3 and TM-4, where the two dense wild rice beds grow, and the rising tide carries channel water toward them. The river alternative was rejected on cost alone. Strong replacement language moves the outfall to the river main channel or sets a minimum distance from the beds.</w:t>
            </w:r>
          </w:p>
        </w:tc>
        <w:tc>
          <w:tcPr>
            <w:tcW w:type="dxa" w:w="2665"/>
            <w:tcMar>
              <w:top w:type="dxa" w:w="70"/>
              <w:left w:type="dxa" w:w="100"/>
              <w:bottom w:type="dxa" w:w="70"/>
              <w:right w:type="dxa" w:w="100"/>
            </w:tcMar>
            <w:vAlign w:val="top"/>
          </w:tcPr>
          <w:p>
            <w:pPr>
              <w:spacing w:after="0" w:line="252"/>
              <w:jc w:val="left"/>
            </w:pPr>
            <w:r>
              <w:rPr>
                <w:sz w:val="22"/>
                <w:szCs w:val="22"/>
              </w:rPr>
              <w:t xml:space="preserve">Document 1, page 3; Document 2, page 2; Document 3, page 2; Document 4, pages 1 and 2</w:t>
            </w:r>
          </w:p>
        </w:tc>
        <w:tc>
          <w:tcPr>
            <w:tcW w:type="dxa" w:w="2818"/>
            <w:tcMar>
              <w:top w:type="dxa" w:w="70"/>
              <w:left w:type="dxa" w:w="100"/>
              <w:bottom w:type="dxa" w:w="70"/>
              <w:right w:type="dxa" w:w="100"/>
            </w:tcMar>
            <w:vAlign w:val="top"/>
          </w:tcPr>
          <w:p>
            <w:pPr>
              <w:spacing w:after="0" w:line="252"/>
              <w:jc w:val="left"/>
            </w:pPr>
            <w:r>
              <w:rPr>
                <w:sz w:val="22"/>
                <w:szCs w:val="22"/>
              </w:rPr>
              <w:t xml:space="preserve">The location was proposed by the applicant, and moving it adds about $2.6 million (Document 2, page 2).</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4. Mixing zone</w:t>
            </w:r>
          </w:p>
        </w:tc>
        <w:tc>
          <w:tcPr>
            <w:tcW w:type="dxa" w:w="2849"/>
            <w:tcMar>
              <w:top w:type="dxa" w:w="70"/>
              <w:left w:type="dxa" w:w="100"/>
              <w:bottom w:type="dxa" w:w="70"/>
              <w:right w:type="dxa" w:w="100"/>
            </w:tcMar>
            <w:vAlign w:val="top"/>
          </w:tcPr>
          <w:p>
            <w:pPr>
              <w:spacing w:after="0" w:line="252"/>
              <w:jc w:val="left"/>
            </w:pPr>
            <w:r>
              <w:rPr>
                <w:sz w:val="22"/>
                <w:szCs w:val="22"/>
              </w:rPr>
              <w:t xml:space="preserve">A 150-meter zone in each direction includes stations TM-2, TM-3, and TM-4, the sites of both dense beds, which hold about 70 percent of the marsh's wild rice. No condition requires sampling outside the zone, and the Department has no record beyond FC-2, so the 300 mg/L standard cannot be checked. Strong replacement language shrinks the zone to end before TM-3 and adds receiving-water monitoring.</w:t>
            </w:r>
          </w:p>
        </w:tc>
        <w:tc>
          <w:tcPr>
            <w:tcW w:type="dxa" w:w="2665"/>
            <w:tcMar>
              <w:top w:type="dxa" w:w="70"/>
              <w:left w:type="dxa" w:w="100"/>
              <w:bottom w:type="dxa" w:w="70"/>
              <w:right w:type="dxa" w:w="100"/>
            </w:tcMar>
            <w:vAlign w:val="top"/>
          </w:tcPr>
          <w:p>
            <w:pPr>
              <w:spacing w:after="0" w:line="252"/>
              <w:jc w:val="left"/>
            </w:pPr>
            <w:r>
              <w:rPr>
                <w:sz w:val="22"/>
                <w:szCs w:val="22"/>
              </w:rPr>
              <w:t xml:space="preserve">Document 1, page 3; Document 3, page 2; Document 4, pages 1 and 2</w:t>
            </w:r>
          </w:p>
        </w:tc>
        <w:tc>
          <w:tcPr>
            <w:tcW w:type="dxa" w:w="2818"/>
            <w:tcMar>
              <w:top w:type="dxa" w:w="70"/>
              <w:left w:type="dxa" w:w="100"/>
              <w:bottom w:type="dxa" w:w="70"/>
              <w:right w:type="dxa" w:w="100"/>
            </w:tcMar>
            <w:vAlign w:val="top"/>
          </w:tcPr>
          <w:p>
            <w:pPr>
              <w:spacing w:after="0" w:line="252"/>
              <w:jc w:val="left"/>
            </w:pPr>
            <w:r>
              <w:rPr>
                <w:sz w:val="22"/>
                <w:szCs w:val="22"/>
              </w:rPr>
              <w:t xml:space="preserve">150 meters is the standard size for a channel of this width (Document 1, page 1).</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5. Reporting schedule</w:t>
            </w:r>
          </w:p>
        </w:tc>
        <w:tc>
          <w:tcPr>
            <w:tcW w:type="dxa" w:w="2849"/>
            <w:tcMar>
              <w:top w:type="dxa" w:w="70"/>
              <w:left w:type="dxa" w:w="100"/>
              <w:bottom w:type="dxa" w:w="70"/>
              <w:right w:type="dxa" w:w="100"/>
            </w:tcMar>
            <w:vAlign w:val="top"/>
          </w:tcPr>
          <w:p>
            <w:pPr>
              <w:spacing w:after="0" w:line="252"/>
              <w:jc w:val="left"/>
            </w:pPr>
            <w:r>
              <w:rPr>
                <w:sz w:val="22"/>
                <w:szCs w:val="22"/>
              </w:rPr>
              <w:t xml:space="preserve">A January result is not due until May 15, and a result above the limit triggers no faster notice, while young wild rice dies back after seven days of high salinity. Strong replacement language requires notice of any exceedance within 24 hours and monthly reports.</w:t>
            </w:r>
          </w:p>
        </w:tc>
        <w:tc>
          <w:tcPr>
            <w:tcW w:type="dxa" w:w="2665"/>
            <w:tcMar>
              <w:top w:type="dxa" w:w="70"/>
              <w:left w:type="dxa" w:w="100"/>
              <w:bottom w:type="dxa" w:w="70"/>
              <w:right w:type="dxa" w:w="100"/>
            </w:tcMar>
            <w:vAlign w:val="top"/>
          </w:tcPr>
          <w:p>
            <w:pPr>
              <w:spacing w:after="0" w:line="252"/>
              <w:jc w:val="left"/>
            </w:pPr>
            <w:r>
              <w:rPr>
                <w:sz w:val="22"/>
                <w:szCs w:val="22"/>
              </w:rPr>
              <w:t xml:space="preserve">Document 1, page 4; Document 4, page 2</w:t>
            </w:r>
          </w:p>
        </w:tc>
        <w:tc>
          <w:tcPr>
            <w:tcW w:type="dxa" w:w="2818"/>
            <w:tcMar>
              <w:top w:type="dxa" w:w="70"/>
              <w:left w:type="dxa" w:w="100"/>
              <w:bottom w:type="dxa" w:w="70"/>
              <w:right w:type="dxa" w:w="100"/>
            </w:tcMar>
            <w:vAlign w:val="top"/>
          </w:tcPr>
          <w:p>
            <w:pPr>
              <w:spacing w:after="0" w:line="252"/>
              <w:jc w:val="left"/>
            </w:pPr>
            <w:r>
              <w:rPr>
                <w:sz w:val="22"/>
                <w:szCs w:val="22"/>
              </w:rPr>
              <w:t xml:space="preserve">Quarterly reporting is the standard schedule for a discharge of this size (Document 1, page 1).</w:t>
            </w:r>
          </w:p>
        </w:tc>
      </w:tr>
    </w:tbl>
    <w:p>
      <w:pPr>
        <w:spacing w:after="160" w:before="0"/>
      </w:pPr>
    </w:p>
    <w:p>
      <w:pPr>
        <w:spacing w:after="100" w:line="264"/>
      </w:pPr>
      <w:r>
        <w:rPr>
          <w:sz w:val="22"/>
          <w:szCs w:val="22"/>
        </w:rPr>
        <w:t xml:space="preserve">Points where the record is silent, which students may name in the Milestone 2 note: the permit sets no mass limit and requires no sampling of the channel itself; Condition 4 does not say how or where "background" is measured; the basis on Document 1, page 1 does not mention the vegetation survey; Document 3 covers only station FC-2; and Document 4 has no readings outside the growing season and no estimate of how the discharge would mix.</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Comment on the Thurloe Marsh Concentrate Permit</dc:title>
  <dc:subject>Project · Grade 11 · English Language Arts</dc:subject>
  <dc:creator>Water for Schools</dc:creator>
  <cp:keywords>Project, Grade 11, English Language Arts</cp:keywords>
  <dc:description>A four-session grade 11 ELA project in which students write a formal comment letter on a draft discharge permit, plus a plain-language version for neighbors.</dc:description>
  <cp:lastModifiedBy>Water for Schools</cp:lastModifiedBy>
  <cp:revision>1</cp:revision>
  <dcterms:created xsi:type="dcterms:W3CDTF">2026-10-19T16:28:55.786Z</dcterms:created>
  <dcterms:modified xsi:type="dcterms:W3CDTF">2026-10-19T16:28:55.786Z</dcterms:modified>
</cp:coreProperties>
</file>

<file path=docProps/custom.xml><?xml version="1.0" encoding="utf-8"?>
<Properties xmlns="http://schemas.openxmlformats.org/officeDocument/2006/custom-properties" xmlns:vt="http://schemas.openxmlformats.org/officeDocument/2006/docPropsVTypes"/>
</file>