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the Concentrate Goes: Inland Desalting at Claxton Mesa</w:t>
      </w:r>
    </w:p>
    <w:p>
      <w:pPr>
        <w:keepNext/>
        <w:spacing w:after="160"/>
      </w:pPr>
      <w:r>
        <w:rPr>
          <w:color w:val="5B6B70"/>
          <w:sz w:val="20"/>
          <w:szCs w:val="20"/>
        </w:rPr>
        <w:t xml:space="preserve">Reading passage · Grade 12 · English Language Arts</w:t>
      </w:r>
    </w:p>
    <w:p>
      <w:pPr>
        <w:spacing w:after="100" w:line="264"/>
      </w:pPr>
      <w:r>
        <w:rPr>
          <w:i/>
          <w:iCs/>
          <w:color w:val="12333F"/>
          <w:sz w:val="22"/>
          <w:szCs w:val="22"/>
        </w:rPr>
        <w:t xml:space="preserve">A grade 12 informational passage on brackish groundwater desalting, with a plant data table and questions on how an inland town disposes of its salty concentrate.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concentrate disposal is harder for an inland plant than for a coastal one.</w:t>
      </w:r>
    </w:p>
    <w:p>
      <w:pPr>
        <w:pStyle w:val="ListParagraph"/>
        <w:keepNext/>
        <w:keepLines/>
        <w:numPr>
          <w:ilvl w:val="0"/>
          <w:numId w:val="2"/>
        </w:numPr>
        <w:spacing w:after="60" w:line="264"/>
        <w:ind w:left="720" w:hanging="360"/>
      </w:pPr>
      <w:r>
        <w:rPr>
          <w:sz w:val="22"/>
          <w:szCs w:val="22"/>
        </w:rPr>
        <w:t xml:space="preserve">Students will use a plant operating table to account for a change in concentrate volume.</w:t>
      </w:r>
    </w:p>
    <w:p>
      <w:pPr>
        <w:pStyle w:val="ListParagraph"/>
        <w:keepLines/>
        <w:numPr>
          <w:ilvl w:val="0"/>
          <w:numId w:val="2"/>
        </w:numPr>
        <w:spacing w:after="60" w:line="264"/>
        <w:ind w:left="720" w:hanging="360"/>
      </w:pPr>
      <w:r>
        <w:rPr>
          <w:sz w:val="22"/>
          <w:szCs w:val="22"/>
        </w:rPr>
        <w:t xml:space="preserve">Students will evaluate a trade-off between two disposal methods described in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3 and 4 require students to read the plant operating table against the passage's account of recovery, using the table and the prose together to explain why one month's concentrate volume was the highest.</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brackish, concentrate, recovery ratio, conservative pollutant, evaporation pond</w:t>
      </w:r>
    </w:p>
    <w:p>
      <w:pPr>
        <w:pStyle w:val="Heading2"/>
        <w:keepNext/>
        <w:keepLines/>
      </w:pPr>
      <w:r>
        <w:rPr>
          <w:sz w:val="28"/>
          <w:szCs w:val="28"/>
        </w:rPr>
        <w:t xml:space="preserve">Teacher overview</w:t>
      </w:r>
    </w:p>
    <w:p>
      <w:pPr>
        <w:spacing w:after="100" w:line="264"/>
      </w:pPr>
      <w:r>
        <w:rPr>
          <w:sz w:val="22"/>
          <w:szCs w:val="22"/>
        </w:rPr>
        <w:t xml:space="preserve">Most classroom treatments of desalination stop at the coast, where the leftover brine goes back to the sea. Inland systems are the harder and more common case, because a town that desalts brackish groundwater has to put the salt somewhere on land. This passage follows a fictional plant through that decision and pairs the account with four months of its own operating data, so students practice reading a technical narrative and a table as one argument. The questions ask them to explain a specific month's result rather than to summarize the process in general.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sketch showing feedwater entering, permeate leaving toward town, and concentrate leaving toward the ponds, with the recovery ratio marked as the split. Allow questions 1 through 3 to be answered in phrases, and give students the table with the largest and smallest values in each column already circled.</w:t>
      </w:r>
    </w:p>
    <w:p>
      <w:pPr>
        <w:pStyle w:val="Heading3"/>
        <w:keepNext/>
        <w:keepLines/>
      </w:pPr>
      <w:r>
        <w:rPr>
          <w:sz w:val="24"/>
          <w:szCs w:val="24"/>
        </w:rPr>
        <w:t xml:space="preserve">Extension</w:t>
      </w:r>
    </w:p>
    <w:p>
      <w:pPr>
        <w:spacing w:after="100" w:line="264"/>
      </w:pPr>
      <w:r>
        <w:rPr>
          <w:sz w:val="22"/>
          <w:szCs w:val="22"/>
        </w:rPr>
        <w:t xml:space="preserve">Ask students to write a one-paragraph recommendation to the town council arguing for a different disposal option than the one Claxton Mesa chose. They must use at least two figures from the table and answer the plant manager's argument about visible failure directly.</w:t>
      </w:r>
    </w:p>
    <w:p>
      <w:pPr>
        <w:pStyle w:val="Heading3"/>
        <w:keepNext/>
        <w:keepLines/>
      </w:pPr>
      <w:r>
        <w:rPr>
          <w:sz w:val="24"/>
          <w:szCs w:val="24"/>
        </w:rPr>
        <w:t xml:space="preserve">ELL supports</w:t>
      </w:r>
    </w:p>
    <w:p>
      <w:pPr>
        <w:spacing w:after="100" w:line="264"/>
      </w:pPr>
      <w:r>
        <w:rPr>
          <w:sz w:val="22"/>
          <w:szCs w:val="22"/>
        </w:rPr>
        <w:t xml:space="preserve">Pre-teach "brackish," "membrane," "permeate," "concentrate," and "recovery" with a simple two-arrow diagram and one sentence each before reading. Provide a sentence frame for question 4: "September had the highest concentrate volume because ___, which caused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the Concentrate Goes: Inland Desalting at Claxton Mesa</w:t>
      </w:r>
    </w:p>
    <w:p>
      <w:pPr>
        <w:keepNext/>
        <w:spacing w:after="160"/>
      </w:pPr>
      <w:r>
        <w:rPr>
          <w:color w:val="5B6B70"/>
          <w:sz w:val="20"/>
          <w:szCs w:val="20"/>
        </w:rPr>
        <w:t xml:space="preserve">Grade 12 · English Language Arts</w:t>
      </w:r>
    </w:p>
    <w:p>
      <w:pPr>
        <w:pStyle w:val="Heading2"/>
        <w:keepNext/>
        <w:keepLines/>
      </w:pPr>
      <w:r>
        <w:rPr>
          <w:sz w:val="28"/>
          <w:szCs w:val="28"/>
        </w:rPr>
        <w:t xml:space="preserve">Passage</w:t>
      </w:r>
    </w:p>
    <w:p>
      <w:pPr>
        <w:spacing w:after="120" w:line="276"/>
      </w:pPr>
      <w:r>
        <w:rPr>
          <w:sz w:val="22"/>
          <w:szCs w:val="22"/>
        </w:rPr>
        <w:t xml:space="preserve">Claxton Mesa sits about two hundred miles from the nearest coast. The town is fictional, but its problem is ordinary. The groundwater under the mesa is brackish, which means it carries far more dissolved salt than fresh water and far less than the sea. Residents can taste it at the tap, livestock will drink it without trouble, and a drip irrigation line will eventually clog with it. For most of the town's history, residents simply lived with the taste, and the school district trucked in bottled water for the cafeteria.</w:t>
      </w:r>
    </w:p>
    <w:p>
      <w:pPr>
        <w:spacing w:after="120" w:line="276"/>
      </w:pPr>
      <w:r>
        <w:rPr>
          <w:sz w:val="22"/>
          <w:szCs w:val="22"/>
        </w:rPr>
        <w:t xml:space="preserve">In 2019 the town built a reverse osmosis plant. Reverse osmosis pushes water at high pressure against a membrane that lets water molecules through and holds most dissolved salts back. The water that passes through is called permeate, and it is clean enough to blend and send to the distribution system. The water that does not pass through is called concentrate. It carries nearly all the salt that started in the feedwater, packed into a much smaller volume.</w:t>
      </w:r>
    </w:p>
    <w:p>
      <w:pPr>
        <w:spacing w:after="120" w:line="276"/>
      </w:pPr>
      <w:r>
        <w:rPr>
          <w:sz w:val="22"/>
          <w:szCs w:val="22"/>
        </w:rPr>
        <w:t xml:space="preserve">Operators describe how much of the feed becomes drinking water as the recovery ratio. A plant running at seventy-five percent recovery turns three quarters of its feedwater into permeate and sends the last quarter out as concentrate. That last quarter is roughly four times as salty as the water that entered. Recovery is not a fixed setting. It drifts down as the membranes foul, and it drifts down when the feedwater itself gets saltier, because the plant has to leave more water behind to carry the salt away.</w:t>
      </w:r>
    </w:p>
    <w:p>
      <w:pPr>
        <w:spacing w:after="120" w:line="276"/>
      </w:pPr>
      <w:r>
        <w:rPr>
          <w:sz w:val="22"/>
          <w:szCs w:val="22"/>
        </w:rPr>
        <w:t xml:space="preserve">A coastal plant has a simple answer to the concentrate question. It dilutes the stream and returns it to the ocean, which is already salt water. Claxton Mesa has no ocean. It has a shallow aquifer that the town drinks from, a dry wash that runs three or four times a year, and a river forty miles east that irrigators depend on all summer. Salt is what engineers call a conservative pollutant. Unlike bacteria, which die, or ammonia, which converts, salt does not break down or settle out. Whatever the plant puts into the environment stays there in some form, and it moves wherever the water moves.</w:t>
      </w:r>
    </w:p>
    <w:p>
      <w:pPr>
        <w:spacing w:after="120" w:line="276"/>
      </w:pPr>
      <w:r>
        <w:rPr>
          <w:sz w:val="22"/>
          <w:szCs w:val="22"/>
        </w:rPr>
        <w:t xml:space="preserve">The town considered four options. It could pipe the concentrate to the wastewater plant, which is cheap, but a conventional wastewater plant removes organic matter rather than salt, so the salt would pass straight through to the discharge. It could inject the concentrate into a deep formation far below the drinking water aquifer, which works where the geology cooperates and requires a permit process that can take years. It could evaporate the concentrate in lined ponds and haul away the solids. Or it could install a zero liquid discharge system, which boils the stream down to a dry cake and recovers almost all of the water, at an energy and equipment cost that a town of nine thousand people could not carry.</w:t>
      </w:r>
    </w:p>
    <w:p>
      <w:pPr>
        <w:spacing w:after="120" w:line="276"/>
      </w:pPr>
      <w:r>
        <w:rPr>
          <w:sz w:val="22"/>
          <w:szCs w:val="22"/>
        </w:rPr>
        <w:t xml:space="preserve">Claxton Mesa chose evaporation ponds. The choice bought the town two things: a disposal method with no discharge to any surface water, and a schedule it could meet. It cost the town sixteen acres of land, an annual bill for hauling salt cake to a landfill, and a permanent obligation to keep the pond liners intact. The plant manager makes the trade plainly in the town's annual report. Ponds fail slowly and visibly, she writes, so a leaking liner can be found and repaired, while an injection well can fail without any sign at the surface.</w:t>
      </w:r>
    </w:p>
    <w:p>
      <w:pPr>
        <w:spacing w:after="120" w:line="276"/>
      </w:pPr>
      <w:r>
        <w:rPr>
          <w:sz w:val="22"/>
          <w:szCs w:val="22"/>
        </w:rPr>
        <w:t xml:space="preserve">Energy shapes these choices as much as geology does. Industry engineering references put seawater reverse osmosis at roughly eleven to fifteen kilowatt-hours per thousand gallons (about three to four per cubic meter), against about one to two for conventional treatment and delivery. Brackish water takes less pressure than seawater, so a plant like Claxton Mesa's sits below the seawater figure. That gap is the reason inland desalting spread while seawater desalting stayed expensive. It is also the reason the town rejected zero liquid discharge, which adds energy at exactly the point where the remaining volume is smallest and the salt most concentrated.</w:t>
      </w:r>
    </w:p>
    <w:p>
      <w:pPr>
        <w:keepNext/>
        <w:keepLines/>
        <w:spacing w:after="120" w:line="276"/>
      </w:pPr>
      <w:r>
        <w:rPr>
          <w:sz w:val="22"/>
          <w:szCs w:val="22"/>
        </w:rPr>
        <w:t xml:space="preserve">The table below gives four months from the plant's operating record. Feed flow was steady at 1.2 million gallons per day throughout.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3"/>
        <w:gridCol w:w="2195"/>
        <w:gridCol w:w="2194"/>
        <w:gridCol w:w="2194"/>
        <w:gridCol w:w="2194"/>
      </w:tblGrid>
      <w:tr>
        <w:trPr>
          <w:cantSplit/>
          <w:tblHeader/>
        </w:trPr>
        <w:tc>
          <w:tcPr>
            <w:tcW w:type="dxa" w:w="13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w:t>
            </w:r>
          </w:p>
        </w:tc>
        <w:tc>
          <w:tcPr>
            <w:tcW w:type="dxa" w:w="21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Feedwater salt, mg/L</w:t>
            </w:r>
          </w:p>
        </w:tc>
        <w:tc>
          <w:tcPr>
            <w:tcW w:type="dxa" w:w="21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Permeate salt, mg/L</w:t>
            </w:r>
          </w:p>
        </w:tc>
        <w:tc>
          <w:tcPr>
            <w:tcW w:type="dxa" w:w="21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Recovery, percent</w:t>
            </w:r>
          </w:p>
        </w:tc>
        <w:tc>
          <w:tcPr>
            <w:tcW w:type="dxa" w:w="21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Concentrate to ponds, gallons per day</w:t>
            </w:r>
          </w:p>
        </w:tc>
      </w:tr>
      <w:tr>
        <w:trPr>
          <w:cantSplit/>
        </w:trPr>
        <w:tc>
          <w:tcPr>
            <w:tcW w:type="dxa" w:w="1303"/>
            <w:tcMar>
              <w:top w:type="dxa" w:w="70"/>
              <w:left w:type="dxa" w:w="100"/>
              <w:bottom w:type="dxa" w:w="70"/>
              <w:right w:type="dxa" w:w="100"/>
            </w:tcMar>
            <w:vAlign w:val="top"/>
          </w:tcPr>
          <w:p>
            <w:pPr>
              <w:keepNext/>
              <w:spacing w:after="0" w:line="252"/>
              <w:jc w:val="left"/>
            </w:pPr>
            <w:r>
              <w:rPr>
                <w:sz w:val="20"/>
                <w:szCs w:val="20"/>
              </w:rPr>
              <w:t xml:space="preserve">March</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2,350</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85</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78</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264,000</w:t>
            </w:r>
          </w:p>
        </w:tc>
      </w:tr>
      <w:tr>
        <w:trPr>
          <w:cantSplit/>
        </w:trPr>
        <w:tc>
          <w:tcPr>
            <w:tcW w:type="dxa" w:w="1303"/>
            <w:tcMar>
              <w:top w:type="dxa" w:w="70"/>
              <w:left w:type="dxa" w:w="100"/>
              <w:bottom w:type="dxa" w:w="70"/>
              <w:right w:type="dxa" w:w="100"/>
            </w:tcMar>
            <w:vAlign w:val="top"/>
          </w:tcPr>
          <w:p>
            <w:pPr>
              <w:keepNext/>
              <w:spacing w:after="0" w:line="252"/>
              <w:jc w:val="left"/>
            </w:pPr>
            <w:r>
              <w:rPr>
                <w:sz w:val="20"/>
                <w:szCs w:val="20"/>
              </w:rPr>
              <w:t xml:space="preserve">June</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2,480</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95</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75</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300,000</w:t>
            </w:r>
          </w:p>
        </w:tc>
      </w:tr>
      <w:tr>
        <w:trPr>
          <w:cantSplit/>
        </w:trPr>
        <w:tc>
          <w:tcPr>
            <w:tcW w:type="dxa" w:w="1303"/>
            <w:tcMar>
              <w:top w:type="dxa" w:w="70"/>
              <w:left w:type="dxa" w:w="100"/>
              <w:bottom w:type="dxa" w:w="70"/>
              <w:right w:type="dxa" w:w="100"/>
            </w:tcMar>
            <w:vAlign w:val="top"/>
          </w:tcPr>
          <w:p>
            <w:pPr>
              <w:keepNext/>
              <w:spacing w:after="0" w:line="252"/>
              <w:jc w:val="left"/>
            </w:pPr>
            <w:r>
              <w:rPr>
                <w:sz w:val="20"/>
                <w:szCs w:val="20"/>
              </w:rPr>
              <w:t xml:space="preserve">September</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2,610</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110</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71</w:t>
            </w:r>
          </w:p>
        </w:tc>
        <w:tc>
          <w:tcPr>
            <w:tcW w:type="dxa" w:w="2194"/>
            <w:tcMar>
              <w:top w:type="dxa" w:w="70"/>
              <w:left w:type="dxa" w:w="100"/>
              <w:bottom w:type="dxa" w:w="70"/>
              <w:right w:type="dxa" w:w="100"/>
            </w:tcMar>
            <w:vAlign w:val="top"/>
          </w:tcPr>
          <w:p>
            <w:pPr>
              <w:keepNext/>
              <w:spacing w:after="0" w:line="252"/>
              <w:jc w:val="left"/>
            </w:pPr>
            <w:r>
              <w:rPr>
                <w:sz w:val="20"/>
                <w:szCs w:val="20"/>
              </w:rPr>
              <w:t xml:space="preserve">348,000</w:t>
            </w:r>
          </w:p>
        </w:tc>
      </w:tr>
      <w:tr>
        <w:trPr>
          <w:cantSplit/>
        </w:trPr>
        <w:tc>
          <w:tcPr>
            <w:tcW w:type="dxa" w:w="1303"/>
            <w:tcMar>
              <w:top w:type="dxa" w:w="70"/>
              <w:left w:type="dxa" w:w="100"/>
              <w:bottom w:type="dxa" w:w="70"/>
              <w:right w:type="dxa" w:w="100"/>
            </w:tcMar>
            <w:vAlign w:val="top"/>
          </w:tcPr>
          <w:p>
            <w:pPr>
              <w:spacing w:after="0" w:line="252"/>
              <w:jc w:val="left"/>
            </w:pPr>
            <w:r>
              <w:rPr>
                <w:sz w:val="20"/>
                <w:szCs w:val="20"/>
              </w:rPr>
              <w:t xml:space="preserve">December</w:t>
            </w:r>
          </w:p>
        </w:tc>
        <w:tc>
          <w:tcPr>
            <w:tcW w:type="dxa" w:w="2195"/>
            <w:tcMar>
              <w:top w:type="dxa" w:w="70"/>
              <w:left w:type="dxa" w:w="100"/>
              <w:bottom w:type="dxa" w:w="70"/>
              <w:right w:type="dxa" w:w="100"/>
            </w:tcMar>
            <w:vAlign w:val="top"/>
          </w:tcPr>
          <w:p>
            <w:pPr>
              <w:spacing w:after="0" w:line="252"/>
              <w:jc w:val="left"/>
            </w:pPr>
            <w:r>
              <w:rPr>
                <w:sz w:val="20"/>
                <w:szCs w:val="20"/>
              </w:rPr>
              <w:t xml:space="preserve">2,390</w:t>
            </w:r>
          </w:p>
        </w:tc>
        <w:tc>
          <w:tcPr>
            <w:tcW w:type="dxa" w:w="2194"/>
            <w:tcMar>
              <w:top w:type="dxa" w:w="70"/>
              <w:left w:type="dxa" w:w="100"/>
              <w:bottom w:type="dxa" w:w="70"/>
              <w:right w:type="dxa" w:w="100"/>
            </w:tcMar>
            <w:vAlign w:val="top"/>
          </w:tcPr>
          <w:p>
            <w:pPr>
              <w:spacing w:after="0" w:line="252"/>
              <w:jc w:val="left"/>
            </w:pPr>
            <w:r>
              <w:rPr>
                <w:sz w:val="20"/>
                <w:szCs w:val="20"/>
              </w:rPr>
              <w:t xml:space="preserve">88</w:t>
            </w:r>
          </w:p>
        </w:tc>
        <w:tc>
          <w:tcPr>
            <w:tcW w:type="dxa" w:w="2194"/>
            <w:tcMar>
              <w:top w:type="dxa" w:w="70"/>
              <w:left w:type="dxa" w:w="100"/>
              <w:bottom w:type="dxa" w:w="70"/>
              <w:right w:type="dxa" w:w="100"/>
            </w:tcMar>
            <w:vAlign w:val="top"/>
          </w:tcPr>
          <w:p>
            <w:pPr>
              <w:spacing w:after="0" w:line="252"/>
              <w:jc w:val="left"/>
            </w:pPr>
            <w:r>
              <w:rPr>
                <w:sz w:val="20"/>
                <w:szCs w:val="20"/>
              </w:rPr>
              <w:t xml:space="preserve">77</w:t>
            </w:r>
          </w:p>
        </w:tc>
        <w:tc>
          <w:tcPr>
            <w:tcW w:type="dxa" w:w="2194"/>
            <w:tcMar>
              <w:top w:type="dxa" w:w="70"/>
              <w:left w:type="dxa" w:w="100"/>
              <w:bottom w:type="dxa" w:w="70"/>
              <w:right w:type="dxa" w:w="100"/>
            </w:tcMar>
            <w:vAlign w:val="top"/>
          </w:tcPr>
          <w:p>
            <w:pPr>
              <w:spacing w:after="0" w:line="252"/>
              <w:jc w:val="left"/>
            </w:pPr>
            <w:r>
              <w:rPr>
                <w:sz w:val="20"/>
                <w:szCs w:val="20"/>
              </w:rPr>
              <w:t xml:space="preserve">276,000</w:t>
            </w:r>
          </w:p>
        </w:tc>
      </w:tr>
    </w:tbl>
    <w:p>
      <w:pPr>
        <w:spacing w:after="160" w:before="0"/>
      </w:pP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two streams does a reverse osmosis plant produce, and what is the difference between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gives two reasons a plant's recovery ratio can drift down. Name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name the month with the largest volume of concentrate sent to the ponds, and give that volume.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Feed flow was the same in every month shown. Use the table and the passage together to explain why September's concentrate volume was the highest of the four.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salt a conservative pollutant. Explain what that means, and explain why it makes the wastewater plant option a poor choice for Claxton Mesa.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evaporation ponds with deep well injection as the passage presents them. State the specific advantage the plant manager gives for ponds, and state one cost the town accepted in exchange.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town rejected zero liquid discharge partly because of energy. Explain the reasoning, using what the passage says about where that energy would be spent.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the Concentrate Goes: Inland Desalting at Claxton Mesa</w:t>
      </w:r>
    </w:p>
    <w:p>
      <w:pPr>
        <w:keepNext/>
        <w:spacing w:after="160"/>
      </w:pPr>
      <w:r>
        <w:rPr>
          <w:color w:val="5B6B70"/>
          <w:sz w:val="20"/>
          <w:szCs w:val="20"/>
        </w:rPr>
        <w:t xml:space="preserve">Reading passage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Permeate and concentrate. Permeate is the water that passes through the membrane and is clean enough to blend into the distribution system, while concentrate is the water held back, carrying nearly all the original salt in a much smaller volume.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Recovery drifts down as the membranes foul, and it drifts down when the feedwater itself becomes saltier, because more water has to be left behind to carry the salt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September, at 348,000 gallons per day. The table's last column gives that figure, which is the largest of the four months shown.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September had the saltiest feedwater of the four months at 2,610 mg/L, and the passage explains that saltier feed forces recovery down. Recovery in September was 71 percent, the lowest in the table, so with feed flow steady at 1.2 million gallons per day a larger share of that feed left the plant as concentrate.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conservative pollutant does not break down, convert, or settle out, so it stays in the environment and travels wherever the water travels. Sending concentrate to the wastewater plant would not remove any of it, because that plant is built to remove organic matter, so the salt would pass through and leave in the discharge.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manager argues that ponds fail slowly and visibly, so a leaking liner can be found and repaired, while an injection well can fail without any sign at the surface. In exchange the town gave up sixteen acres of land and took on an annual hauling bill and a permanent obligation to maintain the liners.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Zero liquid discharge boils the remaining stream down to a dry cake, which means it adds energy at the point where the volume is smallest and the salt is most concentrated, the hardest and most expensive water to treat. A town of nine thousand could not carry that energy and equipment cost, so it accepted a method that uses land instead of power.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 Concentrate Goes: Inland Desalting at Claxton Mesa</dc:title>
  <dc:subject>Reading passage · Grade 12 · English Language Arts</dc:subject>
  <dc:creator>Water for Schools</dc:creator>
  <cp:keywords>Reading passage, Grade 12, English Language Arts</cp:keywords>
  <dc:description>A grade 12 informational passage on brackish groundwater desalting, with a plant data table and questions on how an inland town disposes of its salty concentrate.</dc:description>
  <cp:lastModifiedBy>Water for Schools</cp:lastModifiedBy>
  <cp:revision>1</cp:revision>
  <dcterms:created xsi:type="dcterms:W3CDTF">2026-10-19T16:28:55.955Z</dcterms:created>
  <dcterms:modified xsi:type="dcterms:W3CDTF">2026-10-19T16:28:55.955Z</dcterms:modified>
</cp:coreProperties>
</file>

<file path=docProps/custom.xml><?xml version="1.0" encoding="utf-8"?>
<Properties xmlns="http://schemas.openxmlformats.org/officeDocument/2006/custom-properties" xmlns:vt="http://schemas.openxmlformats.org/officeDocument/2006/docPropsVTypes"/>
</file>