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Hollantree's Phosphorus Numbers Rise Every Spring</w:t>
      </w:r>
    </w:p>
    <w:p>
      <w:pPr>
        <w:keepNext/>
        <w:spacing w:after="160"/>
      </w:pPr>
      <w:r>
        <w:rPr>
          <w:color w:val="5B6B70"/>
          <w:sz w:val="20"/>
          <w:szCs w:val="20"/>
        </w:rPr>
        <w:t xml:space="preserve">Reading passage · Grade 12 · English Language Arts</w:t>
      </w:r>
    </w:p>
    <w:p>
      <w:pPr>
        <w:spacing w:after="100" w:line="264"/>
      </w:pPr>
      <w:r>
        <w:rPr>
          <w:i/>
          <w:iCs/>
          <w:color w:val="12333F"/>
          <w:sz w:val="22"/>
          <w:szCs w:val="22"/>
        </w:rPr>
        <w:t xml:space="preserve">A grade 12 informational passage on biological phosphorus removal at a fictional plant, where a wet spring starves the bacteria that do the work, with data and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a biological treatment process in their own words from an informational text.</w:t>
      </w:r>
    </w:p>
    <w:p>
      <w:pPr>
        <w:pStyle w:val="ListParagraph"/>
        <w:keepNext/>
        <w:keepLines/>
        <w:numPr>
          <w:ilvl w:val="0"/>
          <w:numId w:val="2"/>
        </w:numPr>
        <w:spacing w:after="60" w:line="264"/>
        <w:ind w:left="720" w:hanging="360"/>
      </w:pPr>
      <w:r>
        <w:rPr>
          <w:sz w:val="22"/>
          <w:szCs w:val="22"/>
        </w:rPr>
        <w:t xml:space="preserve">Students will use a data table to test a causal claim the text makes.</w:t>
      </w:r>
    </w:p>
    <w:p>
      <w:pPr>
        <w:pStyle w:val="ListParagraph"/>
        <w:keepLines/>
        <w:numPr>
          <w:ilvl w:val="0"/>
          <w:numId w:val="2"/>
        </w:numPr>
        <w:spacing w:after="60" w:line="264"/>
        <w:ind w:left="720" w:hanging="360"/>
      </w:pPr>
      <w:r>
        <w:rPr>
          <w:sz w:val="22"/>
          <w:szCs w:val="22"/>
        </w:rPr>
        <w:t xml:space="preserve">Students will weigh two engineering responses described in a text and state the tradeoff between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2, 3, and 7 require students to read the plant's monthly data table against the passage's explanation of the process, integrating quantitative and textual sources to judge a cause.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phosphorus, anaerobic, aerobic, volatile fatty acids, fermenter, waste sludge</w:t>
      </w:r>
    </w:p>
    <w:p>
      <w:pPr>
        <w:pStyle w:val="Heading2"/>
        <w:keepNext/>
        <w:keepLines/>
      </w:pPr>
      <w:r>
        <w:rPr>
          <w:sz w:val="28"/>
          <w:szCs w:val="28"/>
        </w:rPr>
        <w:t xml:space="preserve">Teacher overview</w:t>
      </w:r>
    </w:p>
    <w:p>
      <w:pPr>
        <w:spacing w:after="100" w:line="264"/>
      </w:pPr>
      <w:r>
        <w:rPr>
          <w:sz w:val="22"/>
          <w:szCs w:val="22"/>
        </w:rPr>
        <w:t xml:space="preserve">Biological phosphorus removal is unusual among treatment processes because it depends on keeping a population of bacteria in a particular state of hunger rather than on a piece of equipment. This passage follows a fictional plant through a wet spring in which the removal falls apart, and pairs the narrative with the monthly data that shows why. It suits a grade 12 class working on causal reasoning from mixed sources, because the text offers an explanation that students can confirm, qualify, or reject using the table printed beside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Have these students read the passage in two sittings, stopping after the paragraph about the aerated tank to sketch the two tanks and label what enters and leaves each one. Assign questions 1, 2, 4, and 5, and provide a partially completed comparison chart for question 5 with the chemical column already filled in.</w:t>
      </w:r>
    </w:p>
    <w:p>
      <w:pPr>
        <w:pStyle w:val="Heading3"/>
        <w:keepNext/>
        <w:keepLines/>
      </w:pPr>
      <w:r>
        <w:rPr>
          <w:sz w:val="24"/>
          <w:szCs w:val="24"/>
        </w:rPr>
        <w:t xml:space="preserve">Extension</w:t>
      </w:r>
    </w:p>
    <w:p>
      <w:pPr>
        <w:spacing w:after="100" w:line="264"/>
      </w:pPr>
      <w:r>
        <w:rPr>
          <w:sz w:val="22"/>
          <w:szCs w:val="22"/>
        </w:rPr>
        <w:t xml:space="preserve">Ask students to write the paragraph the fictional plant would add to its annual report explaining the spring to the town board, in no more than 120 words, using the table but no technical term the passage does not define. Then have them mark which sentence of their paragraph a board member is most likely to misread, and why.</w:t>
      </w:r>
    </w:p>
    <w:p>
      <w:pPr>
        <w:pStyle w:val="Heading3"/>
        <w:keepNext/>
        <w:keepLines/>
      </w:pPr>
      <w:r>
        <w:rPr>
          <w:sz w:val="24"/>
          <w:szCs w:val="24"/>
        </w:rPr>
        <w:t xml:space="preserve">ELL supports</w:t>
      </w:r>
    </w:p>
    <w:p>
      <w:pPr>
        <w:spacing w:after="100" w:line="264"/>
      </w:pPr>
      <w:r>
        <w:rPr>
          <w:sz w:val="22"/>
          <w:szCs w:val="22"/>
        </w:rPr>
        <w:t xml:space="preserve">Pre-teach "anaerobic," "aerobic," "influent," "effluent," and "sludge" as a set, with a simple diagram showing where each belongs in the plant. Provide the passage with the four process steps numbered in the margin, and allow questions 1 and 2 to be answered in phrases rather than full sentences.</w:t>
      </w:r>
    </w:p>
    <w:p>
      <w:pPr>
        <w:pStyle w:val="Heading2"/>
        <w:keepNext/>
        <w:keepLines/>
      </w:pPr>
      <w:r>
        <w:rPr>
          <w:sz w:val="28"/>
          <w:szCs w:val="28"/>
        </w:rPr>
        <w:t xml:space="preserve">Extensions</w:t>
      </w:r>
    </w:p>
    <w:p>
      <w:pPr>
        <w:spacing w:after="100" w:line="264"/>
      </w:pPr>
      <w:r>
        <w:rPr>
          <w:sz w:val="22"/>
          <w:szCs w:val="22"/>
        </w:rPr>
        <w:t xml:space="preserve">Have students graph plant flow and effluent total phosphorus on the same set of axes for the four months in the table, then write a caption of about 100 words explaining what the pairing shows and what it cannot show. Ask them to name one additional column they would want from the fictional plant's records before claiming that dilution caused the permit exceedance.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Hollantree's Phosphorus Numbers Rise Every Spring</w:t>
      </w:r>
    </w:p>
    <w:p>
      <w:pPr>
        <w:keepNext/>
        <w:spacing w:after="160"/>
      </w:pPr>
      <w:r>
        <w:rPr>
          <w:color w:val="5B6B70"/>
          <w:sz w:val="20"/>
          <w:szCs w:val="20"/>
        </w:rPr>
        <w:t xml:space="preserve">Grade 12 · English Language Arts</w:t>
      </w:r>
    </w:p>
    <w:p>
      <w:pPr>
        <w:pStyle w:val="Heading2"/>
        <w:keepNext/>
        <w:keepLines/>
      </w:pPr>
      <w:r>
        <w:rPr>
          <w:sz w:val="28"/>
          <w:szCs w:val="28"/>
        </w:rPr>
        <w:t xml:space="preserve">Passage</w:t>
      </w:r>
    </w:p>
    <w:p>
      <w:pPr>
        <w:spacing w:after="120" w:line="276"/>
      </w:pPr>
      <w:r>
        <w:rPr>
          <w:sz w:val="22"/>
          <w:szCs w:val="22"/>
        </w:rPr>
        <w:t xml:space="preserve">The Kestermill Water Reclamation Facility sits at the low end of Hollantree, a fictional town of about eleven thousand people, and sends its treated water to the Threlkeld River. Its permit is ordinary in most respects. One line in it is not. The permit allows a monthly average of 1.0 mg/L of total phosphorus in the water the plant discharges, and Kestermill meets that limit without adding a chemical to do it. Most of the year, bacteria do the work.</w:t>
      </w:r>
    </w:p>
    <w:p>
      <w:pPr>
        <w:spacing w:after="120" w:line="276"/>
      </w:pPr>
      <w:r>
        <w:rPr>
          <w:sz w:val="22"/>
          <w:szCs w:val="22"/>
        </w:rPr>
        <w:t xml:space="preserve">The process has a name that sounds more complicated than the idea behind it. Enhanced biological phosphorus removal relies on a group of microorganisms that store phosphorus inside their cells far beyond what they need to live. Operators call them phosphorus accumulators. Left alone in an ordinary tank, they have no reason to overstock. The plant has to give them one.</w:t>
      </w:r>
    </w:p>
    <w:p>
      <w:pPr>
        <w:spacing w:after="120" w:line="276"/>
      </w:pPr>
      <w:r>
        <w:rPr>
          <w:sz w:val="22"/>
          <w:szCs w:val="22"/>
        </w:rPr>
        <w:t xml:space="preserve">Ines Vardy, who has run Kestermill's process side for nine years, describes the trick as a controlled hardship followed by a controlled reward. The incoming wastewater first enters a tank with no oxygen in it. In that tank the accumulators cannot breathe in the ordinary sense, so they fall back on stored energy. They take in small carbon compounds called volatile fatty acids, which are what raw sewage produces as it sits and sours in the collection system. Paying for that uptake costs them phosphorus, which they release into the water. Anyone sampling that first tank finds phosphorus levels going up rather than down.</w:t>
      </w:r>
    </w:p>
    <w:p>
      <w:pPr>
        <w:spacing w:after="120" w:line="276"/>
      </w:pPr>
      <w:r>
        <w:rPr>
          <w:sz w:val="22"/>
          <w:szCs w:val="22"/>
        </w:rPr>
        <w:t xml:space="preserve">The reward comes next. The mixture moves into an aerated tank where blowers push air through the water. The accumulators now have oxygen and a load of stored carbon, and they use both to take phosphorus back out of the water. They take back more than they released. The phosphorus ends up locked inside the cells, and the cells settle out as sludge. Every day the plant wastes a portion of that sludge, hauling it away, and the phosphorus leaves the plant inside it. Vardy makes the point that a plant cannot remove phosphorus from water and keep all of its sludge. The phosphorus has to leave in something.</w:t>
      </w:r>
    </w:p>
    <w:p>
      <w:pPr>
        <w:spacing w:after="120" w:line="276"/>
      </w:pPr>
      <w:r>
        <w:rPr>
          <w:sz w:val="22"/>
          <w:szCs w:val="22"/>
        </w:rPr>
        <w:t xml:space="preserve">That system ran well at Kestermill for six years. Then came a spring the crew still refers to by its rainfall. Snow melted early, rain followed for three weeks, and groundwater found every crack in the town's old sewer pipes. Flow at the plant rose from about three million gallons a day to more than five. The extra water was not sewage. It was clean water leaking into a pipe built to carry sewage, and it diluted everything.</w:t>
      </w:r>
    </w:p>
    <w:p>
      <w:pPr>
        <w:spacing w:after="120" w:line="276"/>
      </w:pPr>
      <w:r>
        <w:rPr>
          <w:sz w:val="22"/>
          <w:szCs w:val="22"/>
        </w:rPr>
        <w:t xml:space="preserve">Toby Lenane, the facility's laboratory technician, saw the effect first in the influent numbers. Strength fell steadily while volume rose. By April the incoming wastewater was little more than half as strong as it had been in February. There were still plenty of accumulators in the tanks. What there was not was enough volatile fatty acid to feed them. Bacteria that cannot store carbon in the first tank have nothing to spend on phosphorus uptake in the second.</w:t>
      </w:r>
    </w:p>
    <w:p>
      <w:pPr>
        <w:spacing w:after="120" w:line="276"/>
      </w:pPr>
      <w:r>
        <w:rPr>
          <w:sz w:val="22"/>
          <w:szCs w:val="22"/>
        </w:rPr>
        <w:t xml:space="preserve">The effluent numbers followed. Total phosphorus in the discharge climbed month by month, and in March the monthly average went past the permit line, and in April it climbed higher still. Lenane put it plainly at the staff meeting. The plant did not have a bacteria problem; it had a groceries problem.</w:t>
      </w:r>
    </w:p>
    <w:p>
      <w:pPr>
        <w:spacing w:after="120" w:line="276"/>
      </w:pPr>
      <w:r>
        <w:rPr>
          <w:sz w:val="22"/>
          <w:szCs w:val="22"/>
        </w:rPr>
        <w:t xml:space="preserve">Two responses were on the table. The first was chemical. Adding a metal salt such as alum makes phosphorus fall out of the water as a solid, and the dose can be raised or lowered within an hour. It works in any weather. It also costs money every day it runs, and it produces additional sludge that the plant has to dewater and haul, which raises the disposal bill in the same month the chemical bill arrives.</w:t>
      </w:r>
    </w:p>
    <w:p>
      <w:pPr>
        <w:spacing w:after="120" w:line="276"/>
      </w:pPr>
      <w:r>
        <w:rPr>
          <w:sz w:val="22"/>
          <w:szCs w:val="22"/>
        </w:rPr>
        <w:t xml:space="preserve">The second response was biological. A fermenter holds a portion of the plant's own primary sludge in a warm tank without oxygen and lets it sour on purpose, producing volatile fatty acids that can be pumped forward to the first tank. It makes the plant's food supply out of the plant's own waste, and once built it costs little to run. It is also slow to respond, takes weeks to establish, and depends on having enough primary sludge to ferment, which a diluted influent does not always provide.</w:t>
      </w:r>
    </w:p>
    <w:p>
      <w:pPr>
        <w:spacing w:after="120" w:line="276"/>
      </w:pPr>
      <w:r>
        <w:rPr>
          <w:sz w:val="22"/>
          <w:szCs w:val="22"/>
        </w:rPr>
        <w:t xml:space="preserve">Hollantree's board approved both. The plant now keeps an alum feed available for the weeks when the river is high and the sewers are full, and it built the fermenter to carry the ordinary year. Vardy is careful about how she describes the result, since the alum feed is the part that never fails, while the fermenter is the part that removes most of the phosphorus in an ordinary year.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27"/>
        <w:gridCol w:w="2885"/>
        <w:gridCol w:w="2884"/>
        <w:gridCol w:w="2884"/>
      </w:tblGrid>
      <w:tr>
        <w:trPr>
          <w:cantSplit/>
          <w:tblHeader/>
        </w:trPr>
        <w:tc>
          <w:tcPr>
            <w:tcW w:type="dxa" w:w="14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28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Plant flow (MGD)</w:t>
            </w:r>
          </w:p>
        </w:tc>
        <w:tc>
          <w:tcPr>
            <w:tcW w:type="dxa" w:w="28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Influent BOD (mg/L)</w:t>
            </w:r>
          </w:p>
        </w:tc>
        <w:tc>
          <w:tcPr>
            <w:tcW w:type="dxa" w:w="28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Effluent total phosphorus (mg/L)</w:t>
            </w:r>
          </w:p>
        </w:tc>
      </w:tr>
      <w:tr>
        <w:trPr>
          <w:cantSplit/>
        </w:trPr>
        <w:tc>
          <w:tcPr>
            <w:tcW w:type="dxa" w:w="1427"/>
            <w:tcMar>
              <w:top w:type="dxa" w:w="70"/>
              <w:left w:type="dxa" w:w="100"/>
              <w:bottom w:type="dxa" w:w="70"/>
              <w:right w:type="dxa" w:w="100"/>
            </w:tcMar>
            <w:vAlign w:val="top"/>
          </w:tcPr>
          <w:p>
            <w:pPr>
              <w:keepNext/>
              <w:spacing w:after="0" w:line="252"/>
              <w:jc w:val="left"/>
            </w:pPr>
            <w:r>
              <w:rPr>
                <w:sz w:val="22"/>
                <w:szCs w:val="22"/>
              </w:rPr>
              <w:t xml:space="preserve">February</w:t>
            </w:r>
          </w:p>
        </w:tc>
        <w:tc>
          <w:tcPr>
            <w:tcW w:type="dxa" w:w="2885"/>
            <w:tcMar>
              <w:top w:type="dxa" w:w="70"/>
              <w:left w:type="dxa" w:w="100"/>
              <w:bottom w:type="dxa" w:w="70"/>
              <w:right w:type="dxa" w:w="100"/>
            </w:tcMar>
            <w:vAlign w:val="top"/>
          </w:tcPr>
          <w:p>
            <w:pPr>
              <w:keepNext/>
              <w:spacing w:after="0" w:line="252"/>
              <w:jc w:val="left"/>
            </w:pPr>
            <w:r>
              <w:rPr>
                <w:sz w:val="22"/>
                <w:szCs w:val="22"/>
              </w:rPr>
              <w:t xml:space="preserve">3.1</w:t>
            </w:r>
          </w:p>
        </w:tc>
        <w:tc>
          <w:tcPr>
            <w:tcW w:type="dxa" w:w="2884"/>
            <w:tcMar>
              <w:top w:type="dxa" w:w="70"/>
              <w:left w:type="dxa" w:w="100"/>
              <w:bottom w:type="dxa" w:w="70"/>
              <w:right w:type="dxa" w:w="100"/>
            </w:tcMar>
            <w:vAlign w:val="top"/>
          </w:tcPr>
          <w:p>
            <w:pPr>
              <w:keepNext/>
              <w:spacing w:after="0" w:line="252"/>
              <w:jc w:val="left"/>
            </w:pPr>
            <w:r>
              <w:rPr>
                <w:sz w:val="22"/>
                <w:szCs w:val="22"/>
              </w:rPr>
              <w:t xml:space="preserve">210</w:t>
            </w:r>
          </w:p>
        </w:tc>
        <w:tc>
          <w:tcPr>
            <w:tcW w:type="dxa" w:w="2884"/>
            <w:tcMar>
              <w:top w:type="dxa" w:w="70"/>
              <w:left w:type="dxa" w:w="100"/>
              <w:bottom w:type="dxa" w:w="70"/>
              <w:right w:type="dxa" w:w="100"/>
            </w:tcMar>
            <w:vAlign w:val="top"/>
          </w:tcPr>
          <w:p>
            <w:pPr>
              <w:keepNext/>
              <w:spacing w:after="0" w:line="252"/>
              <w:jc w:val="left"/>
            </w:pPr>
            <w:r>
              <w:rPr>
                <w:sz w:val="22"/>
                <w:szCs w:val="22"/>
              </w:rPr>
              <w:t xml:space="preserve">0.7</w:t>
            </w:r>
          </w:p>
        </w:tc>
      </w:tr>
      <w:tr>
        <w:trPr>
          <w:cantSplit/>
        </w:trPr>
        <w:tc>
          <w:tcPr>
            <w:tcW w:type="dxa" w:w="1427"/>
            <w:tcMar>
              <w:top w:type="dxa" w:w="70"/>
              <w:left w:type="dxa" w:w="100"/>
              <w:bottom w:type="dxa" w:w="70"/>
              <w:right w:type="dxa" w:w="100"/>
            </w:tcMar>
            <w:vAlign w:val="top"/>
          </w:tcPr>
          <w:p>
            <w:pPr>
              <w:keepNext/>
              <w:spacing w:after="0" w:line="252"/>
              <w:jc w:val="left"/>
            </w:pPr>
            <w:r>
              <w:rPr>
                <w:sz w:val="22"/>
                <w:szCs w:val="22"/>
              </w:rPr>
              <w:t xml:space="preserve">March</w:t>
            </w:r>
          </w:p>
        </w:tc>
        <w:tc>
          <w:tcPr>
            <w:tcW w:type="dxa" w:w="2885"/>
            <w:tcMar>
              <w:top w:type="dxa" w:w="70"/>
              <w:left w:type="dxa" w:w="100"/>
              <w:bottom w:type="dxa" w:w="70"/>
              <w:right w:type="dxa" w:w="100"/>
            </w:tcMar>
            <w:vAlign w:val="top"/>
          </w:tcPr>
          <w:p>
            <w:pPr>
              <w:keepNext/>
              <w:spacing w:after="0" w:line="252"/>
              <w:jc w:val="left"/>
            </w:pPr>
            <w:r>
              <w:rPr>
                <w:sz w:val="22"/>
                <w:szCs w:val="22"/>
              </w:rPr>
              <w:t xml:space="preserve">4.6</w:t>
            </w:r>
          </w:p>
        </w:tc>
        <w:tc>
          <w:tcPr>
            <w:tcW w:type="dxa" w:w="2884"/>
            <w:tcMar>
              <w:top w:type="dxa" w:w="70"/>
              <w:left w:type="dxa" w:w="100"/>
              <w:bottom w:type="dxa" w:w="70"/>
              <w:right w:type="dxa" w:w="100"/>
            </w:tcMar>
            <w:vAlign w:val="top"/>
          </w:tcPr>
          <w:p>
            <w:pPr>
              <w:keepNext/>
              <w:spacing w:after="0" w:line="252"/>
              <w:jc w:val="left"/>
            </w:pPr>
            <w:r>
              <w:rPr>
                <w:sz w:val="22"/>
                <w:szCs w:val="22"/>
              </w:rPr>
              <w:t xml:space="preserve">140</w:t>
            </w:r>
          </w:p>
        </w:tc>
        <w:tc>
          <w:tcPr>
            <w:tcW w:type="dxa" w:w="2884"/>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1427"/>
            <w:tcMar>
              <w:top w:type="dxa" w:w="70"/>
              <w:left w:type="dxa" w:w="100"/>
              <w:bottom w:type="dxa" w:w="70"/>
              <w:right w:type="dxa" w:w="100"/>
            </w:tcMar>
            <w:vAlign w:val="top"/>
          </w:tcPr>
          <w:p>
            <w:pPr>
              <w:keepNext/>
              <w:spacing w:after="0" w:line="252"/>
              <w:jc w:val="left"/>
            </w:pPr>
            <w:r>
              <w:rPr>
                <w:sz w:val="22"/>
                <w:szCs w:val="22"/>
              </w:rPr>
              <w:t xml:space="preserve">April</w:t>
            </w:r>
          </w:p>
        </w:tc>
        <w:tc>
          <w:tcPr>
            <w:tcW w:type="dxa" w:w="2885"/>
            <w:tcMar>
              <w:top w:type="dxa" w:w="70"/>
              <w:left w:type="dxa" w:w="100"/>
              <w:bottom w:type="dxa" w:w="70"/>
              <w:right w:type="dxa" w:w="100"/>
            </w:tcMar>
            <w:vAlign w:val="top"/>
          </w:tcPr>
          <w:p>
            <w:pPr>
              <w:keepNext/>
              <w:spacing w:after="0" w:line="252"/>
              <w:jc w:val="left"/>
            </w:pPr>
            <w:r>
              <w:rPr>
                <w:sz w:val="22"/>
                <w:szCs w:val="22"/>
              </w:rPr>
              <w:t xml:space="preserve">5.2</w:t>
            </w:r>
          </w:p>
        </w:tc>
        <w:tc>
          <w:tcPr>
            <w:tcW w:type="dxa" w:w="2884"/>
            <w:tcMar>
              <w:top w:type="dxa" w:w="70"/>
              <w:left w:type="dxa" w:w="100"/>
              <w:bottom w:type="dxa" w:w="70"/>
              <w:right w:type="dxa" w:w="100"/>
            </w:tcMar>
            <w:vAlign w:val="top"/>
          </w:tcPr>
          <w:p>
            <w:pPr>
              <w:keepNext/>
              <w:spacing w:after="0" w:line="252"/>
              <w:jc w:val="left"/>
            </w:pPr>
            <w:r>
              <w:rPr>
                <w:sz w:val="22"/>
                <w:szCs w:val="22"/>
              </w:rPr>
              <w:t xml:space="preserve">118</w:t>
            </w:r>
          </w:p>
        </w:tc>
        <w:tc>
          <w:tcPr>
            <w:tcW w:type="dxa" w:w="2884"/>
            <w:tcMar>
              <w:top w:type="dxa" w:w="70"/>
              <w:left w:type="dxa" w:w="100"/>
              <w:bottom w:type="dxa" w:w="70"/>
              <w:right w:type="dxa" w:w="100"/>
            </w:tcMar>
            <w:vAlign w:val="top"/>
          </w:tcPr>
          <w:p>
            <w:pPr>
              <w:keepNext/>
              <w:spacing w:after="0" w:line="252"/>
              <w:jc w:val="left"/>
            </w:pPr>
            <w:r>
              <w:rPr>
                <w:sz w:val="22"/>
                <w:szCs w:val="22"/>
              </w:rPr>
              <w:t xml:space="preserve">1.9</w:t>
            </w:r>
          </w:p>
        </w:tc>
      </w:tr>
      <w:tr>
        <w:trPr>
          <w:cantSplit/>
        </w:trPr>
        <w:tc>
          <w:tcPr>
            <w:tcW w:type="dxa" w:w="1427"/>
            <w:tcMar>
              <w:top w:type="dxa" w:w="70"/>
              <w:left w:type="dxa" w:w="100"/>
              <w:bottom w:type="dxa" w:w="70"/>
              <w:right w:type="dxa" w:w="100"/>
            </w:tcMar>
            <w:vAlign w:val="top"/>
          </w:tcPr>
          <w:p>
            <w:pPr>
              <w:spacing w:after="0" w:line="252"/>
              <w:jc w:val="left"/>
            </w:pPr>
            <w:r>
              <w:rPr>
                <w:sz w:val="22"/>
                <w:szCs w:val="22"/>
              </w:rPr>
              <w:t xml:space="preserve">May</w:t>
            </w:r>
          </w:p>
        </w:tc>
        <w:tc>
          <w:tcPr>
            <w:tcW w:type="dxa" w:w="2885"/>
            <w:tcMar>
              <w:top w:type="dxa" w:w="70"/>
              <w:left w:type="dxa" w:w="100"/>
              <w:bottom w:type="dxa" w:w="70"/>
              <w:right w:type="dxa" w:w="100"/>
            </w:tcMar>
            <w:vAlign w:val="top"/>
          </w:tcPr>
          <w:p>
            <w:pPr>
              <w:spacing w:after="0" w:line="252"/>
              <w:jc w:val="left"/>
            </w:pPr>
            <w:r>
              <w:rPr>
                <w:sz w:val="22"/>
                <w:szCs w:val="22"/>
              </w:rPr>
              <w:t xml:space="preserve">3.4</w:t>
            </w:r>
          </w:p>
        </w:tc>
        <w:tc>
          <w:tcPr>
            <w:tcW w:type="dxa" w:w="2884"/>
            <w:tcMar>
              <w:top w:type="dxa" w:w="70"/>
              <w:left w:type="dxa" w:w="100"/>
              <w:bottom w:type="dxa" w:w="70"/>
              <w:right w:type="dxa" w:w="100"/>
            </w:tcMar>
            <w:vAlign w:val="top"/>
          </w:tcPr>
          <w:p>
            <w:pPr>
              <w:spacing w:after="0" w:line="252"/>
              <w:jc w:val="left"/>
            </w:pPr>
            <w:r>
              <w:rPr>
                <w:sz w:val="22"/>
                <w:szCs w:val="22"/>
              </w:rPr>
              <w:t xml:space="preserve">195</w:t>
            </w:r>
          </w:p>
        </w:tc>
        <w:tc>
          <w:tcPr>
            <w:tcW w:type="dxa" w:w="2884"/>
            <w:tcMar>
              <w:top w:type="dxa" w:w="70"/>
              <w:left w:type="dxa" w:w="100"/>
              <w:bottom w:type="dxa" w:w="70"/>
              <w:right w:type="dxa" w:w="100"/>
            </w:tcMar>
            <w:vAlign w:val="top"/>
          </w:tcPr>
          <w:p>
            <w:pPr>
              <w:spacing w:after="0" w:line="252"/>
              <w:jc w:val="left"/>
            </w:pPr>
            <w:r>
              <w:rPr>
                <w:sz w:val="22"/>
                <w:szCs w:val="22"/>
              </w:rPr>
              <w:t xml:space="preserve">0.8</w:t>
            </w:r>
          </w:p>
        </w:tc>
      </w:tr>
    </w:tbl>
    <w:p>
      <w:pPr>
        <w:spacing w:after="160" w:before="0"/>
      </w:pP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do the phosphorus accumulators do in the tank without oxygen, and what do they do in the aerated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name the month with the highest plant flow and give that month's effluent total phosphorus.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Lenane says the plant had a groceries problem rather than a bacteria problem. Explain how the table supports that statement.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plant cannot remove phosphorus from its water without also removing sludge.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advantage and one disadvantage of the chemical response, and one advantage and one disadvantage of the fermenter.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context to explain what volatile fatty acids do in this process, and why the spring problem is described as a shortage rather than a poisoning.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June arrives with flow near 3.0 MGD and influent BOD near 200 mg/L. Predict what the effluent total phosphorus would do, and support the prediction with two details.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Hollantree's Phosphorus Numbers Rise Every Spring</w:t>
      </w:r>
    </w:p>
    <w:p>
      <w:pPr>
        <w:keepNext/>
        <w:spacing w:after="160"/>
      </w:pPr>
      <w:r>
        <w:rPr>
          <w:color w:val="5B6B70"/>
          <w:sz w:val="20"/>
          <w:szCs w:val="20"/>
        </w:rPr>
        <w:t xml:space="preserve">Reading passage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release phosphorus in the tank without oxygen and take up more than they released in the aerated tank. The passage explains that they take in volatile fatty acids in the first tank and pay for that uptake by releasing phosphorus, then use oxygen and stored carbon in the second tank to pull phosphorus back out of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April, at 1.9 mg/L. The table shows April with the highest flow of the four months and the highest effluent total phosphorus.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table shows influent BOD falling from 210 to 118 mg/L as flow rises, which means the incoming water carried less organic material per liter rather than fewer bacteria. Effluent phosphorus rises in step with that fall, so the failure tracks the food supply rather than any loss of the microorganisms themselves.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phosphorus is stored inside the bacterial cells, and those cells settle out as sludge, so the only way the phosphorus leaves the plant is inside the sludge that is wasted and hauled away. The passage makes this point directly when it says the phosphorus has to leave in something.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chemical response can be adjusted within an hour and works in any weather, but it costs money daily and creates extra sludge to dewater and haul. The fermenter makes the plant's own food supply and costs little to run, but it takes weeks to establish and depends on having enough primary sludge, which a diluted influent may not supply.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Volatile fatty acids are the small carbon compounds the bacteria take in and store while releasing phosphorus, so they are the fuel that makes the later uptake possible. The spring event is a shortage because the extra water diluted the sewage rather than adding anything harmful, leaving the same bacteria with too little to eat.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Effluent total phosphorus would fall back below the permit line, to somewhere near the February and May values. The passage says the removal depends on the strength of the incoming wastewater, and the table shows that in the two months with flow near 3 MGD and influent BOD near 200 mg/L, effluent phosphorus was 0.7 and 0.8 mg/L.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Hollantree's Phosphorus Numbers Rise Every Spring</dc:title>
  <dc:subject>Reading passage · Grade 12 · English Language Arts</dc:subject>
  <dc:creator>Water for Schools</dc:creator>
  <cp:keywords>Reading passage, Grade 12, English Language Arts</cp:keywords>
  <dc:description>A grade 12 informational passage on biological phosphorus removal at a fictional plant, where a wet spring starves the bacteria that do the work, with data and questions.</dc:description>
  <cp:lastModifiedBy>Water for Schools</cp:lastModifiedBy>
  <cp:revision>1</cp:revision>
  <dcterms:created xsi:type="dcterms:W3CDTF">2026-10-19T16:28:56.073Z</dcterms:created>
  <dcterms:modified xsi:type="dcterms:W3CDTF">2026-10-19T16:28:56.073Z</dcterms:modified>
</cp:coreProperties>
</file>

<file path=docProps/custom.xml><?xml version="1.0" encoding="utf-8"?>
<Properties xmlns="http://schemas.openxmlformats.org/officeDocument/2006/custom-properties" xmlns:vt="http://schemas.openxmlformats.org/officeDocument/2006/docPropsVTypes"/>
</file>