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Extending the PFAS Compliance Deadline: A Grade 12 Debate Kit</w:t>
      </w:r>
    </w:p>
    <w:p>
      <w:pPr>
        <w:keepNext/>
        <w:spacing w:after="160"/>
      </w:pPr>
      <w:r>
        <w:rPr>
          <w:color w:val="5B6B70"/>
          <w:sz w:val="20"/>
          <w:szCs w:val="20"/>
        </w:rPr>
        <w:t xml:space="preserve">Debate kit · Grade 12 · English Language Arts</w:t>
      </w:r>
    </w:p>
    <w:p>
      <w:pPr>
        <w:spacing w:after="100" w:line="264"/>
      </w:pPr>
      <w:r>
        <w:rPr>
          <w:i/>
          <w:iCs/>
          <w:color w:val="12333F"/>
          <w:sz w:val="22"/>
          <w:szCs w:val="22"/>
        </w:rPr>
        <w:t xml:space="preserve">A grade 12 debate kit weighing EPA's proposed two-year PFAS exemption for eligible water systems against the cost of delayed protection for affected communities.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evidence on both sides of a federal PFAS compliance-deadline resolution.</w:t>
      </w:r>
    </w:p>
    <w:p>
      <w:pPr>
        <w:pStyle w:val="ListParagraph"/>
        <w:keepLines/>
        <w:numPr>
          <w:ilvl w:val="0"/>
          <w:numId w:val="2"/>
        </w:numPr>
        <w:spacing w:after="60" w:line="264"/>
        <w:ind w:left="720" w:hanging="360"/>
      </w:pPr>
      <w:r>
        <w:rPr>
          <w:sz w:val="22"/>
          <w:szCs w:val="22"/>
        </w:rPr>
        <w:t xml:space="preserve">Students will construct and deliver a rebuttal supported by named evidence from the Evidence File.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Students draft and deliver arguments with fully developed counterclaims on the compliance-deadline resolution, using the Evidence File's reasoning and evidence exactly as this standard's argument-writing skill requires.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The Evidence File combines regulatory text, a specific parts-per-trillion limit, and named-source testimony, so preparing a case requires integrating multiple formats of information, precisely what this standard asks students to do.</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Forever chemicals</w:t>
      </w:r>
      <w:r>
        <w:rPr>
          <w:sz w:val="22"/>
          <w:szCs w:val="22"/>
        </w:rPr>
        <w:t xml:space="preserve">: A nickname for PFAS, human-made chemicals that almost never break down in nature. Because they last so long, they can build up in water, soil, and people.</w:t>
      </w:r>
    </w:p>
    <w:p>
      <w:pPr>
        <w:spacing w:after="80" w:line="264"/>
      </w:pPr>
      <w:r>
        <w:rPr>
          <w:b/>
          <w:bCs/>
          <w:sz w:val="22"/>
          <w:szCs w:val="22"/>
        </w:rPr>
        <w:t xml:space="preserve">Health advisory</w:t>
      </w:r>
      <w:r>
        <w:rPr>
          <w:sz w:val="22"/>
          <w:szCs w:val="22"/>
        </w:rPr>
        <w:t xml:space="preserve">: A warning from EPA about how much of a chemical people can safely drink over a lifetime. It guides utilities before an official legal limit exists.</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50-to-60-minute class period, with a second session available for additional prep or a second round of rebuttals. Students argue for or against EPA's own proposal to let eligible water systems apply for two more years to meet its national PFAS drinking-water limits, a live regulatory question with a genuine tension between giving utilities more time and protecting public health without further delay.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simplified evidence card for each side listing only the single strongest point in plain language, and give rebuttal sentence starters: "Our opponents claim ___, but the evidence in this debate shows ___."</w:t>
      </w:r>
    </w:p>
    <w:p>
      <w:pPr>
        <w:pStyle w:val="Heading3"/>
        <w:keepNext/>
        <w:keepLines/>
      </w:pPr>
      <w:r>
        <w:rPr>
          <w:sz w:val="24"/>
          <w:szCs w:val="24"/>
        </w:rPr>
        <w:t xml:space="preserve">Extension (above grade level)</w:t>
      </w:r>
    </w:p>
    <w:p>
      <w:pPr>
        <w:spacing w:after="100" w:line="264"/>
      </w:pPr>
      <w:r>
        <w:rPr>
          <w:sz w:val="22"/>
          <w:szCs w:val="22"/>
        </w:rPr>
        <w:t xml:space="preserve">Ask students to reason, using only the Evidence File provided rather than outside sources, about why EPA might have judged the 2024 rule's April 2029 timeline insufficient for some systems, and to incorporate that reasoning into a stronger case for either side.</w:t>
      </w:r>
    </w:p>
    <w:p>
      <w:pPr>
        <w:pStyle w:val="Heading3"/>
        <w:keepNext/>
        <w:keepLines/>
      </w:pPr>
      <w:r>
        <w:rPr>
          <w:sz w:val="24"/>
          <w:szCs w:val="24"/>
        </w:rPr>
        <w:t xml:space="preserve">ELL supports</w:t>
      </w:r>
    </w:p>
    <w:p>
      <w:pPr>
        <w:spacing w:after="100" w:line="264"/>
      </w:pPr>
      <w:r>
        <w:rPr>
          <w:sz w:val="22"/>
          <w:szCs w:val="22"/>
        </w:rPr>
        <w:t xml:space="preserve">Pre-teach "PFAS," "maximum contaminant level," "forever chemicals," and "health advisory" with simple definitions and a labeled diagram showing where PFAS contamination can enter a water system. Allow students to deliver rebuttals from written notes rather than extemporaneously.</w:t>
      </w:r>
    </w:p>
    <w:p>
      <w:pPr>
        <w:pStyle w:val="Heading2"/>
        <w:keepNext/>
        <w:keepLines/>
      </w:pPr>
      <w:r>
        <w:rPr>
          <w:sz w:val="28"/>
          <w:szCs w:val="28"/>
        </w:rPr>
        <w:t xml:space="preserve">Extensions</w:t>
      </w:r>
    </w:p>
    <w:p>
      <w:pPr>
        <w:spacing w:after="100" w:line="264"/>
      </w:pPr>
      <w:r>
        <w:rPr>
          <w:sz w:val="22"/>
          <w:szCs w:val="22"/>
        </w:rPr>
        <w:t xml:space="preserve">Have the class hold a brief mock public comment period after the debate, in which students who did not debate submit a one-paragraph comment to the fictional EPA docket for this exercise, taking a position on the compliance-deadline extension and citing at least one piece of evidence from the Evidence File.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Extending the PFAS Compliance Deadline</w:t>
      </w:r>
    </w:p>
    <w:p>
      <w:pPr>
        <w:keepNext/>
        <w:spacing w:after="160"/>
      </w:pPr>
      <w:r>
        <w:rPr>
          <w:color w:val="5B6B70"/>
          <w:sz w:val="20"/>
          <w:szCs w:val="20"/>
        </w:rPr>
        <w:t xml:space="preserve">Grade 12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EPA should finalize its proposal to let eligible water systems apply for a two-year exemption that moves their PFOA and PFOS compliance date from April 2029 to April 2031."</w:t>
      </w:r>
    </w:p>
    <w:p>
      <w:pPr>
        <w:spacing w:after="120" w:line="276"/>
      </w:pPr>
      <w:r>
        <w:rPr>
          <w:b/>
          <w:bCs/>
          <w:sz w:val="22"/>
          <w:szCs w:val="22"/>
        </w:rPr>
        <w:t xml:space="preserve">Background:</w:t>
      </w:r>
      <w:r>
        <w:rPr>
          <w:sz w:val="22"/>
          <w:szCs w:val="22"/>
        </w:rPr>
        <w:t xml:space="preserve"> PFAS stands for per- and polyfluoroalkyl substances. People sometimes call them forever chemicals. They resist breaking down in the environment and in the human body. In April 2024, EPA finalized the first national drinking-water limits for PFOA and PFOS, two of the most studied PFAS compounds. The maximum contaminant level for each is 4.0 parts per trillion, the highest amount the rule allows in drinking water. Water systems must comply by April 2029. In May 2026, EPA proposed letting eligible systems apply for a two-year exemption, which would give them until April 2031. The exemption would not be automatic for every system, and the 4.0 parts per trillion limits would not change. As of September 2026, the proposal was not yet final. The agency pointed to the design, funding, and construction time utilities need to install treatment that can reach such a low limit.</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extension:</w:t>
      </w:r>
    </w:p>
    <w:p>
      <w:pPr>
        <w:pStyle w:val="ListParagraph"/>
        <w:keepLines/>
        <w:numPr>
          <w:ilvl w:val="0"/>
          <w:numId w:val="3"/>
        </w:numPr>
        <w:spacing w:after="60" w:line="276"/>
        <w:ind w:left="720" w:hanging="360"/>
      </w:pPr>
      <w:r>
        <w:rPr>
          <w:sz w:val="22"/>
          <w:szCs w:val="22"/>
        </w:rPr>
        <w:t xml:space="preserve">In May 2026, EPA proposed letting eligible systems apply for a two-year exemption from the April 2029 compliance date for the 4.0 parts-per-trillion PFOA and PFOS limits, which would move their deadline to April 2031. The agency that wrote the rule is the one proposing more time, which suggests EPA itself judges the original timeline too short for many systems to meet. (Source: EPA PFAS National Primary Drinking Water Regulation; EPA proposed PFOA and PFOS extension rule, May 2026.)</w:t>
      </w:r>
    </w:p>
    <w:p>
      <w:pPr>
        <w:pStyle w:val="ListParagraph"/>
        <w:keepLines/>
        <w:numPr>
          <w:ilvl w:val="0"/>
          <w:numId w:val="3"/>
        </w:numPr>
        <w:spacing w:after="60" w:line="276"/>
        <w:ind w:left="720" w:hanging="360"/>
      </w:pPr>
      <w:r>
        <w:rPr>
          <w:sz w:val="22"/>
          <w:szCs w:val="22"/>
        </w:rPr>
        <w:t xml:space="preserve">A fictional utility, the Millpond Rural Water District, was created for this debate. A treatment train is the chain of equipment water passes through at a plant. The district testifies that building a treatment train able to reach 4.0 parts per trillion is slow work. A small system needs an engineering study first, then a funding plan, then several years of construction before the new equipment can be switched on. (Illustrative testimony created for this debate.)</w:t>
      </w:r>
    </w:p>
    <w:p>
      <w:pPr>
        <w:pStyle w:val="ListParagraph"/>
        <w:keepLines/>
        <w:numPr>
          <w:ilvl w:val="0"/>
          <w:numId w:val="3"/>
        </w:numPr>
        <w:spacing w:after="60" w:line="276"/>
        <w:ind w:left="720" w:hanging="360"/>
      </w:pPr>
      <w:r>
        <w:rPr>
          <w:sz w:val="22"/>
          <w:szCs w:val="22"/>
        </w:rPr>
        <w:t xml:space="preserve">A fictional trade group, the National Small Water Systems Coalition, was created for this debate. It argues that one national deadline treats every utility as if it had the same resources. Small rural utilities do not have the engineering staff or the low-cost financing that large city systems have. An extension would give smaller systems a realistic chance to comply; without one, they face penalties for missing a date they cannot reach. (Illustrative testimony created for this debate.)</w:t>
      </w:r>
    </w:p>
    <w:p>
      <w:pPr>
        <w:spacing w:after="40" w:before="0" w:line="120" w:lineRule="exact"/>
      </w:pPr>
    </w:p>
    <w:p>
      <w:pPr>
        <w:keepNext/>
        <w:keepLines/>
        <w:spacing w:after="120" w:line="276"/>
      </w:pPr>
      <w:r>
        <w:rPr>
          <w:b/>
          <w:bCs/>
          <w:sz w:val="22"/>
          <w:szCs w:val="22"/>
        </w:rPr>
        <w:t xml:space="preserve">Case against the extension:</w:t>
      </w:r>
    </w:p>
    <w:p>
      <w:pPr>
        <w:pStyle w:val="ListParagraph"/>
        <w:keepLines/>
        <w:numPr>
          <w:ilvl w:val="0"/>
          <w:numId w:val="4"/>
        </w:numPr>
        <w:spacing w:after="60" w:line="276"/>
        <w:ind w:left="720" w:hanging="360"/>
      </w:pPr>
      <w:r>
        <w:rPr>
          <w:sz w:val="22"/>
          <w:szCs w:val="22"/>
        </w:rPr>
        <w:t xml:space="preserve">EPA finalized the 4.0 parts-per-trillion limit for PFOA and PFOS in April 2024. It set the limit that low because these chemicals pose health risks even in very small amounts. Every added year before full compliance is another year some communities drink water above the health-based limit. (Source: EPA PFAS National Primary Drinking Water Regulation.)</w:t>
      </w:r>
    </w:p>
    <w:p>
      <w:pPr>
        <w:pStyle w:val="ListParagraph"/>
        <w:keepLines/>
        <w:numPr>
          <w:ilvl w:val="0"/>
          <w:numId w:val="4"/>
        </w:numPr>
        <w:spacing w:after="60" w:line="276"/>
        <w:ind w:left="720" w:hanging="360"/>
      </w:pPr>
      <w:r>
        <w:rPr>
          <w:sz w:val="22"/>
          <w:szCs w:val="22"/>
        </w:rPr>
        <w:t xml:space="preserve">PFAS contamination hits some places harder than others. Aqueous film-forming foam is a firefighting foam that has long contained PFAS, so the worst-affected communities are often near industrial sites or near fields where firefighters trained with it. A delay in enforcement therefore extends exposure for the very communities the rule was written to protect first.</w:t>
      </w:r>
    </w:p>
    <w:p>
      <w:pPr>
        <w:pStyle w:val="ListParagraph"/>
        <w:keepLines/>
        <w:numPr>
          <w:ilvl w:val="0"/>
          <w:numId w:val="4"/>
        </w:numPr>
        <w:spacing w:after="60" w:line="276"/>
        <w:ind w:left="720" w:hanging="360"/>
      </w:pPr>
      <w:r>
        <w:rPr>
          <w:sz w:val="22"/>
          <w:szCs w:val="22"/>
        </w:rPr>
        <w:t xml:space="preserve">A fictional advocacy group, Clearwater Advocates for Public Health, was created for this debate. It argues that EPA already built adjustment time into the original 2024 rule. Some utilities began planning as soon as the rule was final, and granting exemptions to systems that fell behind would reward the systems that waited while penalizing the ones that moved early. (Illustrative testimony created for this debate.)</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Extending the PFAS Compliance Deadline: A Grade 12 Debate Kit</w:t>
      </w:r>
    </w:p>
    <w:p>
      <w:pPr>
        <w:keepNext/>
        <w:spacing w:after="160"/>
      </w:pPr>
      <w:r>
        <w:rPr>
          <w:color w:val="5B6B70"/>
          <w:sz w:val="20"/>
          <w:szCs w:val="20"/>
        </w:rPr>
        <w:t xml:space="preserve">Debate kit · Grade 12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40"/>
        <w:gridCol w:w="3006"/>
        <w:gridCol w:w="3588"/>
        <w:gridCol w:w="3438"/>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8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43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40"/>
            <w:tcMar>
              <w:top w:type="dxa" w:w="70"/>
              <w:left w:type="dxa" w:w="100"/>
              <w:bottom w:type="dxa" w:w="70"/>
              <w:right w:type="dxa" w:w="100"/>
            </w:tcMar>
            <w:vAlign w:val="top"/>
          </w:tcPr>
          <w:p>
            <w:pPr>
              <w:keepNext/>
              <w:spacing w:after="0" w:line="252"/>
              <w:jc w:val="left"/>
            </w:pPr>
            <w:r>
              <w:rPr>
                <w:sz w:val="20"/>
                <w:szCs w:val="20"/>
              </w:rPr>
              <w:t xml:space="preserve">Repeats a claim with no cited evidence</w:t>
            </w:r>
          </w:p>
        </w:tc>
        <w:tc>
          <w:tcPr>
            <w:tcW w:type="dxa" w:w="3006"/>
            <w:tcMar>
              <w:top w:type="dxa" w:w="70"/>
              <w:left w:type="dxa" w:w="100"/>
              <w:bottom w:type="dxa" w:w="70"/>
              <w:right w:type="dxa" w:w="100"/>
            </w:tcMar>
            <w:vAlign w:val="top"/>
          </w:tcPr>
          <w:p>
            <w:pPr>
              <w:keepNext/>
              <w:spacing w:after="0" w:line="252"/>
              <w:jc w:val="left"/>
            </w:pPr>
            <w:r>
              <w:rPr>
                <w:sz w:val="20"/>
                <w:szCs w:val="20"/>
              </w:rPr>
              <w:t xml:space="preserve">Cites one piece of evidence without explaining its relevance to the resolution</w:t>
            </w:r>
          </w:p>
        </w:tc>
        <w:tc>
          <w:tcPr>
            <w:tcW w:type="dxa" w:w="3588"/>
            <w:tcMar>
              <w:top w:type="dxa" w:w="70"/>
              <w:left w:type="dxa" w:w="100"/>
              <w:bottom w:type="dxa" w:w="70"/>
              <w:right w:type="dxa" w:w="100"/>
            </w:tcMar>
            <w:vAlign w:val="top"/>
          </w:tcPr>
          <w:p>
            <w:pPr>
              <w:keepNext/>
              <w:spacing w:after="0" w:line="252"/>
              <w:jc w:val="left"/>
            </w:pPr>
            <w:r>
              <w:rPr>
                <w:sz w:val="20"/>
                <w:szCs w:val="20"/>
              </w:rPr>
              <w:t xml:space="preserve">Cites at least two pieces of evidence from the Evidence File and explains how each supports the team's position</w:t>
            </w:r>
          </w:p>
        </w:tc>
        <w:tc>
          <w:tcPr>
            <w:tcW w:type="dxa" w:w="3438"/>
            <w:tcMar>
              <w:top w:type="dxa" w:w="70"/>
              <w:left w:type="dxa" w:w="100"/>
              <w:bottom w:type="dxa" w:w="70"/>
              <w:right w:type="dxa" w:w="100"/>
            </w:tcMar>
            <w:vAlign w:val="top"/>
          </w:tcPr>
          <w:p>
            <w:pPr>
              <w:keepNext/>
              <w:spacing w:after="0" w:line="252"/>
              <w:jc w:val="left"/>
            </w:pPr>
            <w:r>
              <w:rPr>
                <w:sz w:val="20"/>
                <w:szCs w:val="20"/>
              </w:rPr>
              <w:t xml:space="preserve">Cites multiple pieces of evidence, explains their relevance, and anticipates the opposing side's likely response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40"/>
            <w:tcMar>
              <w:top w:type="dxa" w:w="70"/>
              <w:left w:type="dxa" w:w="100"/>
              <w:bottom w:type="dxa" w:w="70"/>
              <w:right w:type="dxa" w:w="100"/>
            </w:tcMar>
            <w:vAlign w:val="top"/>
          </w:tcPr>
          <w:p>
            <w:pPr>
              <w:keepNext/>
              <w:spacing w:after="0" w:line="252"/>
              <w:jc w:val="left"/>
            </w:pPr>
            <w:r>
              <w:rPr>
                <w:sz w:val="20"/>
                <w:szCs w:val="20"/>
              </w:rPr>
              <w:t xml:space="preserve">Does not respond to the opposing team's points</w:t>
            </w:r>
          </w:p>
        </w:tc>
        <w:tc>
          <w:tcPr>
            <w:tcW w:type="dxa" w:w="3006"/>
            <w:tcMar>
              <w:top w:type="dxa" w:w="70"/>
              <w:left w:type="dxa" w:w="100"/>
              <w:bottom w:type="dxa" w:w="70"/>
              <w:right w:type="dxa" w:w="100"/>
            </w:tcMar>
            <w:vAlign w:val="top"/>
          </w:tcPr>
          <w:p>
            <w:pPr>
              <w:keepNext/>
              <w:spacing w:after="0" w:line="252"/>
              <w:jc w:val="left"/>
            </w:pPr>
            <w:r>
              <w:rPr>
                <w:sz w:val="20"/>
                <w:szCs w:val="20"/>
              </w:rPr>
              <w:t xml:space="preserve">Responds to an opposing point but without new evidence</w:t>
            </w:r>
          </w:p>
        </w:tc>
        <w:tc>
          <w:tcPr>
            <w:tcW w:type="dxa" w:w="3588"/>
            <w:tcMar>
              <w:top w:type="dxa" w:w="70"/>
              <w:left w:type="dxa" w:w="100"/>
              <w:bottom w:type="dxa" w:w="70"/>
              <w:right w:type="dxa" w:w="100"/>
            </w:tcMar>
            <w:vAlign w:val="top"/>
          </w:tcPr>
          <w:p>
            <w:pPr>
              <w:keepNext/>
              <w:spacing w:after="0" w:line="252"/>
              <w:jc w:val="left"/>
            </w:pPr>
            <w:r>
              <w:rPr>
                <w:sz w:val="20"/>
                <w:szCs w:val="20"/>
              </w:rPr>
              <w:t xml:space="preserve">Directly rebuts a specific opposing point using evidence from the file</w:t>
            </w:r>
          </w:p>
        </w:tc>
        <w:tc>
          <w:tcPr>
            <w:tcW w:type="dxa" w:w="3438"/>
            <w:tcMar>
              <w:top w:type="dxa" w:w="70"/>
              <w:left w:type="dxa" w:w="100"/>
              <w:bottom w:type="dxa" w:w="70"/>
              <w:right w:type="dxa" w:w="100"/>
            </w:tcMar>
            <w:vAlign w:val="top"/>
          </w:tcPr>
          <w:p>
            <w:pPr>
              <w:keepNext/>
              <w:spacing w:after="0" w:line="252"/>
              <w:jc w:val="left"/>
            </w:pPr>
            <w:r>
              <w:rPr>
                <w:sz w:val="20"/>
                <w:szCs w:val="20"/>
              </w:rPr>
              <w:t xml:space="preserve">Rebuts multiple opposing points and explains why the team's evidence outweighs them</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140"/>
            <w:tcMar>
              <w:top w:type="dxa" w:w="70"/>
              <w:left w:type="dxa" w:w="100"/>
              <w:bottom w:type="dxa" w:w="70"/>
              <w:right w:type="dxa" w:w="100"/>
            </w:tcMar>
            <w:vAlign w:val="top"/>
          </w:tcPr>
          <w:p>
            <w:pPr>
              <w:spacing w:after="0" w:line="252"/>
              <w:jc w:val="left"/>
            </w:pPr>
            <w:r>
              <w:rPr>
                <w:sz w:val="20"/>
                <w:szCs w:val="20"/>
              </w:rPr>
              <w:t xml:space="preserve">Argument is difficult to follow, with no clear structure</w:t>
            </w:r>
          </w:p>
        </w:tc>
        <w:tc>
          <w:tcPr>
            <w:tcW w:type="dxa" w:w="3006"/>
            <w:tcMar>
              <w:top w:type="dxa" w:w="70"/>
              <w:left w:type="dxa" w:w="100"/>
              <w:bottom w:type="dxa" w:w="70"/>
              <w:right w:type="dxa" w:w="100"/>
            </w:tcMar>
            <w:vAlign w:val="top"/>
          </w:tcPr>
          <w:p>
            <w:pPr>
              <w:spacing w:after="0" w:line="252"/>
              <w:jc w:val="left"/>
            </w:pPr>
            <w:r>
              <w:rPr>
                <w:sz w:val="20"/>
                <w:szCs w:val="20"/>
              </w:rPr>
              <w:t xml:space="preserve">Argument has a structure, but transitions between points are unclear</w:t>
            </w:r>
          </w:p>
        </w:tc>
        <w:tc>
          <w:tcPr>
            <w:tcW w:type="dxa" w:w="3588"/>
            <w:tcMar>
              <w:top w:type="dxa" w:w="70"/>
              <w:left w:type="dxa" w:w="100"/>
              <w:bottom w:type="dxa" w:w="70"/>
              <w:right w:type="dxa" w:w="100"/>
            </w:tcMar>
            <w:vAlign w:val="top"/>
          </w:tcPr>
          <w:p>
            <w:pPr>
              <w:spacing w:after="0" w:line="252"/>
              <w:jc w:val="left"/>
            </w:pPr>
            <w:r>
              <w:rPr>
                <w:sz w:val="20"/>
                <w:szCs w:val="20"/>
              </w:rPr>
              <w:t xml:space="preserve">Argument follows a clear claim-evidence-conclusion structure</w:t>
            </w:r>
          </w:p>
        </w:tc>
        <w:tc>
          <w:tcPr>
            <w:tcW w:type="dxa" w:w="3438"/>
            <w:tcMar>
              <w:top w:type="dxa" w:w="70"/>
              <w:left w:type="dxa" w:w="100"/>
              <w:bottom w:type="dxa" w:w="70"/>
              <w:right w:type="dxa" w:w="100"/>
            </w:tcMar>
            <w:vAlign w:val="top"/>
          </w:tcPr>
          <w:p>
            <w:pPr>
              <w:spacing w:after="0" w:line="252"/>
              <w:jc w:val="left"/>
            </w:pPr>
            <w:r>
              <w:rPr>
                <w:sz w:val="20"/>
                <w:szCs w:val="20"/>
              </w:rPr>
              <w:t xml:space="preserve">Argument is clearly structured, confidently delivered, and directly responsive to the resolution as debated</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Extending the PFAS Compliance Deadline: A Grade 12 Debate Kit</dc:title>
  <dc:subject>Debate kit · Grade 12 · English Language Arts</dc:subject>
  <dc:creator>Water for Schools</dc:creator>
  <cp:keywords>Debate kit, Grade 12, English Language Arts</cp:keywords>
  <dc:description>A grade 12 debate kit weighing EPA's proposed two-year PFAS exemption for eligible water systems against the cost of delayed protection for affected communities.</dc:description>
  <cp:lastModifiedBy>Water for Schools</cp:lastModifiedBy>
  <cp:revision>1</cp:revision>
  <dcterms:created xsi:type="dcterms:W3CDTF">2026-10-19T16:28:56.193Z</dcterms:created>
  <dcterms:modified xsi:type="dcterms:W3CDTF">2026-10-19T16:28:56.193Z</dcterms:modified>
</cp:coreProperties>
</file>

<file path=docProps/custom.xml><?xml version="1.0" encoding="utf-8"?>
<Properties xmlns="http://schemas.openxmlformats.org/officeDocument/2006/custom-properties" xmlns:vt="http://schemas.openxmlformats.org/officeDocument/2006/docPropsVTypes"/>
</file>