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Advanced Water Meters in Swanton Township: A Debate Kit</w:t>
      </w:r>
    </w:p>
    <w:p>
      <w:pPr>
        <w:keepNext/>
        <w:spacing w:after="160"/>
      </w:pPr>
      <w:r>
        <w:rPr>
          <w:color w:val="5B6B70"/>
          <w:sz w:val="20"/>
          <w:szCs w:val="20"/>
        </w:rPr>
        <w:t xml:space="preserve">Debate kit · Grade 12 · English Language Arts</w:t>
      </w:r>
    </w:p>
    <w:p>
      <w:pPr>
        <w:spacing w:after="100" w:line="264"/>
      </w:pPr>
      <w:r>
        <w:rPr>
          <w:i/>
          <w:iCs/>
          <w:color w:val="12333F"/>
          <w:sz w:val="22"/>
          <w:szCs w:val="22"/>
        </w:rPr>
        <w:t xml:space="preserve">A grade 12 debate kit on whether a fictional township should install hourly reading water meters, with two-sided evidence on leaks, cost, and privacy.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for each debater</w:t>
            </w:r>
          </w:p>
          <w:p>
            <w:pPr>
              <w:spacing w:after="0"/>
            </w:pPr>
            <w:r>
              <w:rPr>
                <w:sz w:val="20"/>
                <w:szCs w:val="20"/>
              </w:rPr>
              <w:t xml:space="preserve">• Timer visible to both teams</w:t>
            </w:r>
          </w:p>
          <w:p>
            <w:pPr>
              <w:spacing w:after="0"/>
            </w:pPr>
            <w:r>
              <w:rPr>
                <w:sz w:val="20"/>
                <w:szCs w:val="20"/>
              </w:rPr>
              <w:t xml:space="preserve">• Printed rubric for each judge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constructive case from a shared evidence file rather than from general opinion.</w:t>
      </w:r>
    </w:p>
    <w:p>
      <w:pPr>
        <w:pStyle w:val="ListParagraph"/>
        <w:keepNext/>
        <w:keepLines/>
        <w:numPr>
          <w:ilvl w:val="0"/>
          <w:numId w:val="2"/>
        </w:numPr>
        <w:spacing w:after="60" w:line="264"/>
        <w:ind w:left="720" w:hanging="360"/>
      </w:pPr>
      <w:r>
        <w:rPr>
          <w:sz w:val="22"/>
          <w:szCs w:val="22"/>
        </w:rPr>
        <w:t xml:space="preserve">Students will rebut an opposing argument by contesting its evidence or its reasoning, and say which they are doing.</w:t>
      </w:r>
    </w:p>
    <w:p>
      <w:pPr>
        <w:pStyle w:val="ListParagraph"/>
        <w:keepLines/>
        <w:numPr>
          <w:ilvl w:val="0"/>
          <w:numId w:val="2"/>
        </w:numPr>
        <w:spacing w:after="60" w:line="264"/>
        <w:ind w:left="720" w:hanging="360"/>
      </w:pPr>
      <w:r>
        <w:rPr>
          <w:sz w:val="22"/>
          <w:szCs w:val="22"/>
        </w:rPr>
        <w:t xml:space="preserve">Students will distinguish a documented figure from a fictional stakeholder's testimony while arguing.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Debaters draft written constructive cases and rebuttals from the shared evidence file, and the rubric scores whether each argument rests on evidence and stated reasoning rather than assertion, which is what this argument standard names.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The negative case rests on unintended consequences of the metering policy, including interval data retention and deferred pipe replacement, which is the evaluation of policy outcomes this indicator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advanced metering, interval data, constructive case, rebuttal, cross-examination, capital cost</w:t>
      </w:r>
    </w:p>
    <w:p>
      <w:pPr>
        <w:pStyle w:val="Heading2"/>
        <w:keepNext/>
        <w:keepLines/>
      </w:pPr>
      <w:r>
        <w:rPr>
          <w:sz w:val="28"/>
          <w:szCs w:val="28"/>
        </w:rPr>
        <w:t xml:space="preserve">Teacher overview</w:t>
      </w:r>
    </w:p>
    <w:p>
      <w:pPr>
        <w:spacing w:after="100" w:line="264"/>
      </w:pPr>
      <w:r>
        <w:rPr>
          <w:sz w:val="22"/>
          <w:szCs w:val="22"/>
        </w:rPr>
        <w:t xml:space="preserve">Advanced metering replaces a quarterly manual reading with a meter that reports use every hour, and utilities across the country are installing it. The case for it is strong and mostly about leaks, billing accuracy, and finding breaks early. The case against it is also strong and rests on capital cost during a period of rising bills, on what hourly data about a household reveals, and on whether meters are the right place to spend limited capital. This kit runs as a two-team policy debate with timed rounds and a student judging panel, and it is built so that a well-prepared team on either side can win.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evidence file with each item already labeled documented or fictional, and with two of the strongest items on their assigned side marked. Provide a constructive case outline with the claim slots written and the evidence slots blank, and let them prepare cross-examination questions from a bank of six starters.</w:t>
      </w:r>
    </w:p>
    <w:p>
      <w:pPr>
        <w:pStyle w:val="Heading3"/>
        <w:keepNext/>
        <w:keepLines/>
      </w:pPr>
      <w:r>
        <w:rPr>
          <w:sz w:val="24"/>
          <w:szCs w:val="24"/>
        </w:rPr>
        <w:t xml:space="preserve">Extension</w:t>
      </w:r>
    </w:p>
    <w:p>
      <w:pPr>
        <w:spacing w:after="100" w:line="264"/>
      </w:pPr>
      <w:r>
        <w:rPr>
          <w:sz w:val="22"/>
          <w:szCs w:val="22"/>
        </w:rPr>
        <w:t xml:space="preserve">Ask students to prepare a third position for the moderator to introduce after the rebuttals: a phased proposal that meters only the highest-use quarter of connections first. They must argue it against both teams and identify which evidence in the file supports the phased version better than either original position.</w:t>
      </w:r>
    </w:p>
    <w:p>
      <w:pPr>
        <w:pStyle w:val="Heading3"/>
        <w:keepNext/>
        <w:keepLines/>
      </w:pPr>
      <w:r>
        <w:rPr>
          <w:sz w:val="24"/>
          <w:szCs w:val="24"/>
        </w:rPr>
        <w:t xml:space="preserve">ELL supports</w:t>
      </w:r>
    </w:p>
    <w:p>
      <w:pPr>
        <w:spacing w:after="100" w:line="264"/>
      </w:pPr>
      <w:r>
        <w:rPr>
          <w:sz w:val="22"/>
          <w:szCs w:val="22"/>
        </w:rPr>
        <w:t xml:space="preserve">Pre-teach "meter," "reading," "interval," "retention," and "capital cost" with a short definition and one everyday example for each. Provide a speaking frame for each round, such as "Our first argument is ___. Our evidence is ___, from ___. This supports our case because ___," and allow a written outline to be read aloud during the constructive speech.</w:t>
      </w:r>
    </w:p>
    <w:p>
      <w:pPr>
        <w:pStyle w:val="Heading2"/>
        <w:keepNext/>
        <w:keepLines/>
      </w:pPr>
      <w:r>
        <w:rPr>
          <w:sz w:val="28"/>
          <w:szCs w:val="28"/>
        </w:rPr>
        <w:t xml:space="preserve">Extensions</w:t>
      </w:r>
    </w:p>
    <w:p>
      <w:pPr>
        <w:spacing w:after="100" w:line="264"/>
      </w:pPr>
      <w:r>
        <w:rPr>
          <w:sz w:val="22"/>
          <w:szCs w:val="22"/>
        </w:rPr>
        <w:t xml:space="preserve">Have the class write the board's decision rather than declaring a winner. Each student drafts a one-page motion that either adopts, rejects, or conditions the metering program, and every condition must be traceable to an argument raised in the debate. Compare the motions and identify which conditions appear in drafts written by students from both teams, since those are the terms the room actually agreed 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Advanced Water Meters in Swanton Township: A Debate Kit</w:t>
      </w:r>
    </w:p>
    <w:p>
      <w:pPr>
        <w:keepNext/>
        <w:spacing w:after="160"/>
      </w:pPr>
      <w:r>
        <w:rPr>
          <w:color w:val="5B6B70"/>
          <w:sz w:val="20"/>
          <w:szCs w:val="20"/>
        </w:rPr>
        <w:t xml:space="preserve">Grade 12 · English Language Arts</w:t>
      </w:r>
    </w:p>
    <w:p>
      <w:pPr>
        <w:pStyle w:val="Heading2"/>
        <w:keepNext/>
        <w:keepLines/>
      </w:pPr>
      <w:r>
        <w:rPr>
          <w:sz w:val="28"/>
          <w:szCs w:val="28"/>
        </w:rPr>
        <w:t xml:space="preserve">Resolution &amp; Background</w:t>
      </w:r>
    </w:p>
    <w:p>
      <w:pPr>
        <w:keepNext/>
        <w:keepLines/>
        <w:spacing w:after="120" w:line="276"/>
      </w:pPr>
      <w:r>
        <w:rPr>
          <w:b/>
          <w:bCs/>
          <w:sz w:val="22"/>
          <w:szCs w:val="22"/>
        </w:rPr>
        <w:t xml:space="preserve">Resolution</w:t>
      </w:r>
    </w:p>
    <w:p>
      <w:pPr>
        <w:spacing w:after="120" w:line="276"/>
      </w:pPr>
      <w:r>
        <w:rPr>
          <w:sz w:val="22"/>
          <w:szCs w:val="22"/>
        </w:rPr>
        <w:t xml:space="preserve">Resolved: The Swanton Township Water Authority should replace every customer meter with an advanced metering system that reports hourly use, and complete the replacement within three years.</w:t>
      </w:r>
    </w:p>
    <w:p>
      <w:pPr>
        <w:keepNext/>
        <w:keepLines/>
        <w:spacing w:after="120" w:line="276"/>
      </w:pPr>
      <w:r>
        <w:rPr>
          <w:b/>
          <w:bCs/>
          <w:sz w:val="22"/>
          <w:szCs w:val="22"/>
        </w:rPr>
        <w:t xml:space="preserve">Background</w:t>
      </w:r>
    </w:p>
    <w:p>
      <w:pPr>
        <w:spacing w:after="120" w:line="276"/>
      </w:pPr>
      <w:r>
        <w:rPr>
          <w:sz w:val="22"/>
          <w:szCs w:val="22"/>
        </w:rPr>
        <w:t xml:space="preserve">Swanton Township and its water authority are fictional, and every stakeholder statement in this kit was written for it. The documented figures attributed to EPA, ASCE, and industry rate surveys are real and are labeled as such.</w:t>
      </w:r>
    </w:p>
    <w:p>
      <w:pPr>
        <w:spacing w:after="120" w:line="276"/>
      </w:pPr>
      <w:r>
        <w:rPr>
          <w:sz w:val="22"/>
          <w:szCs w:val="22"/>
        </w:rPr>
        <w:t xml:space="preserve">Swanton Township serves about 6,800 residential connections. Meters are read by hand once a quarter by two staff readers. When a meter cannot be reached, because a gate is locked or a dog is loose or the pit lid is frozen shut, the authority estimates the bill from the prior year and trues it up at the next reading. The authority reports that it estimated 31 percent of residential bills last year, and that billing disputes are its most common customer complaint.</w:t>
      </w:r>
    </w:p>
    <w:p>
      <w:pPr>
        <w:spacing w:after="120" w:line="276"/>
      </w:pPr>
      <w:r>
        <w:rPr>
          <w:sz w:val="22"/>
          <w:szCs w:val="22"/>
        </w:rPr>
        <w:t xml:space="preserve">An advanced metering system replaces the mechanical register with one that transmits a reading every hour to the authority over a radio network. Customers get an online portal showing their own use by hour and day. The authority gets a continuous record for every connection, which it keeps in its billing system. The fictional engineer's estimate for full deployment in Swanton is $4,100,000, financed over twenty years and recovered through rates.</w:t>
      </w:r>
    </w:p>
    <w:p>
      <w:pPr>
        <w:spacing w:after="120" w:line="276"/>
      </w:pPr>
      <w:r>
        <w:rPr>
          <w:sz w:val="22"/>
          <w:szCs w:val="22"/>
        </w:rPr>
        <w:t xml:space="preserve">The township board is genuinely divided, and both sides have written to the board. Neither side disputes that the technology works; they disagree about whether this township should buy it now, at this cost, with this amount of data collection attached.</w:t>
      </w:r>
    </w:p>
    <w:p>
      <w:pPr>
        <w:keepNext/>
        <w:keepLines/>
        <w:spacing w:after="120" w:line="276"/>
      </w:pPr>
      <w:r>
        <w:rPr>
          <w:b/>
          <w:bCs/>
          <w:sz w:val="22"/>
          <w:szCs w:val="22"/>
        </w:rPr>
        <w:t xml:space="preserve">Roles and format</w:t>
      </w:r>
    </w:p>
    <w:p>
      <w:pPr>
        <w:pStyle w:val="ListParagraph"/>
        <w:keepLines/>
        <w:numPr>
          <w:ilvl w:val="0"/>
          <w:numId w:val="3"/>
        </w:numPr>
        <w:spacing w:after="60" w:line="276"/>
        <w:ind w:left="720" w:hanging="360"/>
      </w:pPr>
      <w:r>
        <w:rPr>
          <w:sz w:val="22"/>
          <w:szCs w:val="22"/>
        </w:rPr>
        <w:t xml:space="preserve">Affirmative team of three to four students, arguing for the resolution.</w:t>
      </w:r>
    </w:p>
    <w:p>
      <w:pPr>
        <w:pStyle w:val="ListParagraph"/>
        <w:keepLines/>
        <w:numPr>
          <w:ilvl w:val="0"/>
          <w:numId w:val="3"/>
        </w:numPr>
        <w:spacing w:after="60" w:line="276"/>
        <w:ind w:left="720" w:hanging="360"/>
      </w:pPr>
      <w:r>
        <w:rPr>
          <w:sz w:val="22"/>
          <w:szCs w:val="22"/>
        </w:rPr>
        <w:t xml:space="preserve">Negative team of three to four students, arguing against it.</w:t>
      </w:r>
    </w:p>
    <w:p>
      <w:pPr>
        <w:pStyle w:val="ListParagraph"/>
        <w:keepLines/>
        <w:numPr>
          <w:ilvl w:val="0"/>
          <w:numId w:val="3"/>
        </w:numPr>
        <w:spacing w:after="60" w:line="276"/>
        <w:ind w:left="720" w:hanging="360"/>
      </w:pPr>
      <w:r>
        <w:rPr>
          <w:sz w:val="22"/>
          <w:szCs w:val="22"/>
        </w:rPr>
        <w:t xml:space="preserve">One moderator, who keeps time and enforces the speaking order.</w:t>
      </w:r>
    </w:p>
    <w:p>
      <w:pPr>
        <w:pStyle w:val="ListParagraph"/>
        <w:keepLines/>
        <w:numPr>
          <w:ilvl w:val="0"/>
          <w:numId w:val="3"/>
        </w:numPr>
        <w:spacing w:after="60" w:line="276"/>
        <w:ind w:left="720" w:hanging="360"/>
      </w:pPr>
      <w:r>
        <w:rPr>
          <w:sz w:val="22"/>
          <w:szCs w:val="22"/>
        </w:rPr>
        <w:t xml:space="preserve">A panel of three judges, who score both teams on the rubric and give a written decision.</w:t>
      </w:r>
    </w:p>
    <w:p>
      <w:pPr>
        <w:pStyle w:val="ListParagraph"/>
        <w:keepLines/>
        <w:numPr>
          <w:ilvl w:val="0"/>
          <w:numId w:val="3"/>
        </w:numPr>
        <w:spacing w:after="60" w:line="276"/>
        <w:ind w:left="720" w:hanging="360"/>
      </w:pPr>
      <w:r>
        <w:rPr>
          <w:sz w:val="22"/>
          <w:szCs w:val="22"/>
        </w:rPr>
        <w:t xml:space="preserve">Round order: affirmative constructive, six minutes; negative cross-examination, three minutes; negative constructive, six minutes; affirmative cross-examination, three minutes; negative rebuttal, four minutes; affirmative rebuttal, four minutes.</w:t>
      </w:r>
    </w:p>
    <w:p>
      <w:pPr>
        <w:spacing w:after="40" w:before="0" w:line="120" w:lineRule="exact"/>
      </w:pPr>
    </w:p>
    <w:p>
      <w:pPr>
        <w:spacing w:after="120" w:line="276"/>
      </w:pPr>
      <w:r>
        <w:rPr>
          <w:sz w:val="22"/>
          <w:szCs w:val="22"/>
        </w:rPr>
        <w:t xml:space="preserve">Every debater must be able to say, for any figure used, whether it comes from a documented source or from a fictional Swanton stakeholder. Judges are instructed to penalize a team that presents a fictional testimony as a documented finding.</w:t>
      </w:r>
    </w:p>
    <w:p>
      <w:pPr>
        <w:pStyle w:val="Heading2"/>
        <w:keepNext/>
        <w:keepLines/>
      </w:pPr>
      <w:r>
        <w:rPr>
          <w:sz w:val="28"/>
          <w:szCs w:val="28"/>
        </w:rPr>
        <w:t xml:space="preserve">Evidence File</w:t>
      </w:r>
    </w:p>
    <w:p>
      <w:pPr>
        <w:keepNext/>
        <w:keepLines/>
        <w:spacing w:after="120" w:line="276"/>
      </w:pPr>
      <w:r>
        <w:rPr>
          <w:b/>
          <w:bCs/>
          <w:sz w:val="22"/>
          <w:szCs w:val="22"/>
        </w:rPr>
        <w:t xml:space="preserve">Case for township-wide advanced metering</w:t>
      </w:r>
    </w:p>
    <w:p>
      <w:pPr>
        <w:pStyle w:val="ListParagraph"/>
        <w:keepLines/>
        <w:numPr>
          <w:ilvl w:val="0"/>
          <w:numId w:val="4"/>
        </w:numPr>
        <w:spacing w:after="60" w:line="276"/>
        <w:ind w:left="720" w:hanging="360"/>
      </w:pPr>
      <w:r>
        <w:rPr>
          <w:sz w:val="22"/>
          <w:szCs w:val="22"/>
        </w:rPr>
        <w:t xml:space="preserve">Household leaks waste an average of about 180 gallons per week, nearly 9,400 gallons per year, and most go unnoticed because they are silent. An hourly record shows a household its own continuous overnight flow, which is what a running toilet looks like in the data. Source: EPA WaterSense, Fix a Leak Week.</w:t>
      </w:r>
    </w:p>
    <w:p>
      <w:pPr>
        <w:pStyle w:val="ListParagraph"/>
        <w:keepLines/>
        <w:numPr>
          <w:ilvl w:val="0"/>
          <w:numId w:val="4"/>
        </w:numPr>
        <w:spacing w:after="60" w:line="276"/>
        <w:ind w:left="720" w:hanging="360"/>
      </w:pPr>
      <w:r>
        <w:rPr>
          <w:sz w:val="22"/>
          <w:szCs w:val="22"/>
        </w:rPr>
        <w:t xml:space="preserve">A faucet dripping once per second can waste more than 3,000 gallons per year, according to EPA WaterSense, though the total depends on the size of the drip. Customers cannot act on waste they cannot see, and a quarterly bill arrives too late to connect the number to a cause. Source: EPA WaterSense, Fix a Leak Week.</w:t>
      </w:r>
    </w:p>
    <w:p>
      <w:pPr>
        <w:pStyle w:val="ListParagraph"/>
        <w:keepLines/>
        <w:numPr>
          <w:ilvl w:val="0"/>
          <w:numId w:val="4"/>
        </w:numPr>
        <w:spacing w:after="60" w:line="276"/>
        <w:ind w:left="720" w:hanging="360"/>
      </w:pPr>
      <w:r>
        <w:rPr>
          <w:sz w:val="22"/>
          <w:szCs w:val="22"/>
        </w:rPr>
        <w:t xml:space="preserve">The average US household uses about 300 gallons of water per day, roughly 70 percent of it indoors, so the largest share of use is exactly the share an hourly record can break down by time of day. Source: EPA WaterSense.</w:t>
      </w:r>
    </w:p>
    <w:p>
      <w:pPr>
        <w:pStyle w:val="ListParagraph"/>
        <w:keepLines/>
        <w:numPr>
          <w:ilvl w:val="0"/>
          <w:numId w:val="4"/>
        </w:numPr>
        <w:spacing w:after="60" w:line="276"/>
        <w:ind w:left="720" w:hanging="360"/>
      </w:pPr>
      <w:r>
        <w:rPr>
          <w:sz w:val="22"/>
          <w:szCs w:val="22"/>
        </w:rPr>
        <w:t xml:space="preserve">A water main breaks in the US roughly every two minutes. Continuous readings across a neighborhood let an authority see unexplained flow in a zone before water reaches the surface, which shortens the time a break runs. Source: ASCE Report Card talking points.</w:t>
      </w:r>
    </w:p>
    <w:p>
      <w:pPr>
        <w:pStyle w:val="ListParagraph"/>
        <w:keepLines/>
        <w:numPr>
          <w:ilvl w:val="0"/>
          <w:numId w:val="4"/>
        </w:numPr>
        <w:spacing w:after="60" w:line="276"/>
        <w:ind w:left="720" w:hanging="360"/>
      </w:pPr>
      <w:r>
        <w:rPr>
          <w:sz w:val="22"/>
          <w:szCs w:val="22"/>
        </w:rPr>
        <w:t xml:space="preserve">The fictional Swanton Township Water Authority estimated 31 percent of residential bills last year. Estimated bills produce the authority's most frequent complaint, and a reading every hour ends estimation entirely. Source: fictional Swanton Township Water Authority billing report.</w:t>
      </w:r>
    </w:p>
    <w:p>
      <w:pPr>
        <w:pStyle w:val="ListParagraph"/>
        <w:keepLines/>
        <w:numPr>
          <w:ilvl w:val="0"/>
          <w:numId w:val="4"/>
        </w:numPr>
        <w:spacing w:after="60" w:line="276"/>
        <w:ind w:left="720" w:hanging="360"/>
      </w:pPr>
      <w:r>
        <w:rPr>
          <w:sz w:val="22"/>
          <w:szCs w:val="22"/>
        </w:rPr>
        <w:t xml:space="preserve">A fictional residents' group, the Swanton Accessibility Alliance, has written that older customers and customers with mobility limits cannot check a pit meter themselves, and that a portal would give them the same information a neighbor gets by lifting a lid. Source: fictional stakeholder letter.</w:t>
      </w:r>
    </w:p>
    <w:p>
      <w:pPr>
        <w:spacing w:after="40" w:before="0" w:line="120" w:lineRule="exact"/>
      </w:pPr>
    </w:p>
    <w:p>
      <w:pPr>
        <w:keepNext/>
        <w:keepLines/>
        <w:spacing w:after="120" w:line="276"/>
      </w:pPr>
      <w:r>
        <w:rPr>
          <w:b/>
          <w:bCs/>
          <w:sz w:val="22"/>
          <w:szCs w:val="22"/>
        </w:rPr>
        <w:t xml:space="preserve">Case against township-wide advanced metering</w:t>
      </w:r>
    </w:p>
    <w:p>
      <w:pPr>
        <w:pStyle w:val="ListParagraph"/>
        <w:keepLines/>
        <w:numPr>
          <w:ilvl w:val="0"/>
          <w:numId w:val="5"/>
        </w:numPr>
        <w:spacing w:after="60" w:line="276"/>
        <w:ind w:left="720" w:hanging="360"/>
      </w:pPr>
      <w:r>
        <w:rPr>
          <w:sz w:val="22"/>
          <w:szCs w:val="22"/>
        </w:rPr>
        <w:t xml:space="preserve">Combined US water and sewer bills rose about 24 percent from 2019 to 2024 and about 5.1 percent in 2025, faster than inflation. A $4,100,000 capital program recovered through rates lands on households already absorbing those increases. Sources: Bluefield Research and industry rate surveys, with the Swanton figure from the fictional engineer's estimate.</w:t>
      </w:r>
    </w:p>
    <w:p>
      <w:pPr>
        <w:pStyle w:val="ListParagraph"/>
        <w:keepLines/>
        <w:numPr>
          <w:ilvl w:val="0"/>
          <w:numId w:val="5"/>
        </w:numPr>
        <w:spacing w:after="60" w:line="276"/>
        <w:ind w:left="720" w:hanging="360"/>
      </w:pPr>
      <w:r>
        <w:rPr>
          <w:sz w:val="22"/>
          <w:szCs w:val="22"/>
        </w:rPr>
        <w:t xml:space="preserve">A widely used rule of thumb treats combined water and sewer costs above about 4.5 percent of household income as a high burden. The figure adds two EPA benchmarks, 2.5 percent for drinking water and 2 percent for wastewater; EPA has no single official cutoff, and its 2024 affordability assessment used both 3 percent and 4.5 percent. Any rate increase moves some Swanton households closer to those thresholds, and the authority has not published how many are near it. Source: EPA Water Affordability Needs Assessment (December 2024).</w:t>
      </w:r>
    </w:p>
    <w:p>
      <w:pPr>
        <w:pStyle w:val="ListParagraph"/>
        <w:keepLines/>
        <w:numPr>
          <w:ilvl w:val="0"/>
          <w:numId w:val="5"/>
        </w:numPr>
        <w:spacing w:after="60" w:line="276"/>
        <w:ind w:left="720" w:hanging="360"/>
      </w:pPr>
      <w:r>
        <w:rPr>
          <w:sz w:val="22"/>
          <w:szCs w:val="22"/>
        </w:rPr>
        <w:t xml:space="preserve">EPA's needs assessment estimates $625 billion in drinking-water infrastructure investment is needed over twenty years, with distribution pipes accounting for about two-thirds of the need. A township with limited borrowing capacity that spends it on meters has not spent it on pipe. Source: EPA Drinking Water Infrastructure Needs Survey and Assessment.</w:t>
      </w:r>
    </w:p>
    <w:p>
      <w:pPr>
        <w:pStyle w:val="ListParagraph"/>
        <w:keepLines/>
        <w:numPr>
          <w:ilvl w:val="0"/>
          <w:numId w:val="5"/>
        </w:numPr>
        <w:spacing w:after="60" w:line="276"/>
        <w:ind w:left="720" w:hanging="360"/>
      </w:pPr>
      <w:r>
        <w:rPr>
          <w:sz w:val="22"/>
          <w:szCs w:val="22"/>
        </w:rPr>
        <w:t xml:space="preserve">Hourly consumption data describes a household's schedule. It shows when people wake, shower, leave, return, and travel, and it shows when a house is empty. The authority would hold that record for every connection in the township, and the resolution says nothing about how long it is kept or who may request it. Source: reasoning from the system description above.</w:t>
      </w:r>
    </w:p>
    <w:p>
      <w:pPr>
        <w:pStyle w:val="ListParagraph"/>
        <w:keepLines/>
        <w:numPr>
          <w:ilvl w:val="0"/>
          <w:numId w:val="5"/>
        </w:numPr>
        <w:spacing w:after="60" w:line="276"/>
        <w:ind w:left="720" w:hanging="360"/>
      </w:pPr>
      <w:r>
        <w:rPr>
          <w:sz w:val="22"/>
          <w:szCs w:val="22"/>
        </w:rPr>
        <w:t xml:space="preserve">A fictional letter from the Swanton Civil Liberties Committee asks the board to adopt a retention limit and a warrant requirement before, not after, deployment, on the ground that a data set is easiest to constrain while it does not yet exist. Source: fictional stakeholder letter.</w:t>
      </w:r>
    </w:p>
    <w:p>
      <w:pPr>
        <w:pStyle w:val="ListParagraph"/>
        <w:keepLines/>
        <w:numPr>
          <w:ilvl w:val="0"/>
          <w:numId w:val="5"/>
        </w:numPr>
        <w:spacing w:after="60" w:line="276"/>
        <w:ind w:left="720" w:hanging="360"/>
      </w:pPr>
      <w:r>
        <w:rPr>
          <w:sz w:val="22"/>
          <w:szCs w:val="22"/>
        </w:rPr>
        <w:t xml:space="preserve">A fictional memo from the authority's engineer notes that the vendor warrants the radio modules for fifteen years, while Swanton's current mechanical meters have averaged twenty-two years in service. Replacing a longer-lived device with a shorter-lived one commits the township to a repeating cost. Source: fictional Swanton engineering memo.</w:t>
      </w:r>
    </w:p>
    <w:p>
      <w:pPr>
        <w:pStyle w:val="ListParagraph"/>
        <w:keepLines/>
        <w:numPr>
          <w:ilvl w:val="0"/>
          <w:numId w:val="5"/>
        </w:numPr>
        <w:spacing w:after="60" w:line="276"/>
        <w:ind w:left="720" w:hanging="360"/>
      </w:pPr>
      <w:r>
        <w:rPr>
          <w:sz w:val="22"/>
          <w:szCs w:val="22"/>
        </w:rPr>
        <w:t xml:space="preserve">A fictional statement from the union representing the two meter readers asks what happens to those positions, and notes that the authority has not offered a retraining commitment in writing. Source: fictional stakeholder letter.</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Advanced Water Meters in Swanton Township: A Debate Kit</w:t>
      </w:r>
    </w:p>
    <w:p>
      <w:pPr>
        <w:keepNext/>
        <w:spacing w:after="160"/>
      </w:pPr>
      <w:r>
        <w:rPr>
          <w:color w:val="5B6B70"/>
          <w:sz w:val="20"/>
          <w:szCs w:val="20"/>
        </w:rPr>
        <w:t xml:space="preserve">Debate kit · Grade 12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28"/>
        <w:gridCol w:w="2211"/>
        <w:gridCol w:w="2839"/>
        <w:gridCol w:w="3292"/>
        <w:gridCol w:w="3310"/>
      </w:tblGrid>
      <w:tr>
        <w:trPr>
          <w:cantSplit/>
          <w:tblHeader/>
        </w:trPr>
        <w:tc>
          <w:tcPr>
            <w:tcW w:type="dxa" w:w="20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1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3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1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2028"/>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2211"/>
            <w:tcMar>
              <w:top w:type="dxa" w:w="70"/>
              <w:left w:type="dxa" w:w="100"/>
              <w:bottom w:type="dxa" w:w="70"/>
              <w:right w:type="dxa" w:w="100"/>
            </w:tcMar>
            <w:vAlign w:val="top"/>
          </w:tcPr>
          <w:p>
            <w:pPr>
              <w:keepNext/>
              <w:spacing w:after="0" w:line="252"/>
              <w:jc w:val="left"/>
            </w:pPr>
            <w:r>
              <w:rPr>
                <w:sz w:val="20"/>
                <w:szCs w:val="20"/>
              </w:rPr>
              <w:t xml:space="preserve">Argues from opinion; cites the file rarely or inaccurately.</w:t>
            </w:r>
          </w:p>
        </w:tc>
        <w:tc>
          <w:tcPr>
            <w:tcW w:type="dxa" w:w="2839"/>
            <w:tcMar>
              <w:top w:type="dxa" w:w="70"/>
              <w:left w:type="dxa" w:w="100"/>
              <w:bottom w:type="dxa" w:w="70"/>
              <w:right w:type="dxa" w:w="100"/>
            </w:tcMar>
            <w:vAlign w:val="top"/>
          </w:tcPr>
          <w:p>
            <w:pPr>
              <w:keepNext/>
              <w:spacing w:after="0" w:line="252"/>
              <w:jc w:val="left"/>
            </w:pPr>
            <w:r>
              <w:rPr>
                <w:sz w:val="20"/>
                <w:szCs w:val="20"/>
              </w:rPr>
              <w:t xml:space="preserve">Cites the file, but mostly by restating a figure without connecting it to the claim.</w:t>
            </w:r>
          </w:p>
        </w:tc>
        <w:tc>
          <w:tcPr>
            <w:tcW w:type="dxa" w:w="3292"/>
            <w:tcMar>
              <w:top w:type="dxa" w:w="70"/>
              <w:left w:type="dxa" w:w="100"/>
              <w:bottom w:type="dxa" w:w="70"/>
              <w:right w:type="dxa" w:w="100"/>
            </w:tcMar>
            <w:vAlign w:val="top"/>
          </w:tcPr>
          <w:p>
            <w:pPr>
              <w:keepNext/>
              <w:spacing w:after="0" w:line="252"/>
              <w:jc w:val="left"/>
            </w:pPr>
            <w:r>
              <w:rPr>
                <w:sz w:val="20"/>
                <w:szCs w:val="20"/>
              </w:rPr>
              <w:t xml:space="preserve">Cites at least three items accurately and explains how each supports the case.</w:t>
            </w:r>
          </w:p>
        </w:tc>
        <w:tc>
          <w:tcPr>
            <w:tcW w:type="dxa" w:w="3310"/>
            <w:tcMar>
              <w:top w:type="dxa" w:w="70"/>
              <w:left w:type="dxa" w:w="100"/>
              <w:bottom w:type="dxa" w:w="70"/>
              <w:right w:type="dxa" w:w="100"/>
            </w:tcMar>
            <w:vAlign w:val="top"/>
          </w:tcPr>
          <w:p>
            <w:pPr>
              <w:keepNext/>
              <w:spacing w:after="0" w:line="252"/>
              <w:jc w:val="left"/>
            </w:pPr>
            <w:r>
              <w:rPr>
                <w:sz w:val="20"/>
                <w:szCs w:val="20"/>
              </w:rPr>
              <w:t xml:space="preserve">Cites accurately, explains each, and shows how two items together support a claim neither supports alone.</w:t>
            </w:r>
          </w:p>
        </w:tc>
      </w:tr>
      <w:tr>
        <w:trPr>
          <w:cantSplit/>
        </w:trPr>
        <w:tc>
          <w:tcPr>
            <w:tcW w:type="dxa" w:w="2028"/>
            <w:tcMar>
              <w:top w:type="dxa" w:w="70"/>
              <w:left w:type="dxa" w:w="100"/>
              <w:bottom w:type="dxa" w:w="70"/>
              <w:right w:type="dxa" w:w="100"/>
            </w:tcMar>
            <w:vAlign w:val="top"/>
          </w:tcPr>
          <w:p>
            <w:pPr>
              <w:keepNext/>
              <w:spacing w:after="0" w:line="252"/>
              <w:jc w:val="left"/>
            </w:pPr>
            <w:r>
              <w:rPr>
                <w:sz w:val="20"/>
                <w:szCs w:val="20"/>
              </w:rPr>
              <w:t xml:space="preserve">Handling of sources</w:t>
            </w:r>
          </w:p>
        </w:tc>
        <w:tc>
          <w:tcPr>
            <w:tcW w:type="dxa" w:w="2211"/>
            <w:tcMar>
              <w:top w:type="dxa" w:w="70"/>
              <w:left w:type="dxa" w:w="100"/>
              <w:bottom w:type="dxa" w:w="70"/>
              <w:right w:type="dxa" w:w="100"/>
            </w:tcMar>
            <w:vAlign w:val="top"/>
          </w:tcPr>
          <w:p>
            <w:pPr>
              <w:keepNext/>
              <w:spacing w:after="0" w:line="252"/>
              <w:jc w:val="left"/>
            </w:pPr>
            <w:r>
              <w:rPr>
                <w:sz w:val="20"/>
                <w:szCs w:val="20"/>
              </w:rPr>
              <w:t xml:space="preserve">Confuses fictional testimony with documented findings.</w:t>
            </w:r>
          </w:p>
        </w:tc>
        <w:tc>
          <w:tcPr>
            <w:tcW w:type="dxa" w:w="2839"/>
            <w:tcMar>
              <w:top w:type="dxa" w:w="70"/>
              <w:left w:type="dxa" w:w="100"/>
              <w:bottom w:type="dxa" w:w="70"/>
              <w:right w:type="dxa" w:w="100"/>
            </w:tcMar>
            <w:vAlign w:val="top"/>
          </w:tcPr>
          <w:p>
            <w:pPr>
              <w:keepNext/>
              <w:spacing w:after="0" w:line="252"/>
              <w:jc w:val="left"/>
            </w:pPr>
            <w:r>
              <w:rPr>
                <w:sz w:val="20"/>
                <w:szCs w:val="20"/>
              </w:rPr>
              <w:t xml:space="preserve">Distinguishes the two when asked, but not unprompted.</w:t>
            </w:r>
          </w:p>
        </w:tc>
        <w:tc>
          <w:tcPr>
            <w:tcW w:type="dxa" w:w="3292"/>
            <w:tcMar>
              <w:top w:type="dxa" w:w="70"/>
              <w:left w:type="dxa" w:w="100"/>
              <w:bottom w:type="dxa" w:w="70"/>
              <w:right w:type="dxa" w:w="100"/>
            </w:tcMar>
            <w:vAlign w:val="top"/>
          </w:tcPr>
          <w:p>
            <w:pPr>
              <w:keepNext/>
              <w:spacing w:after="0" w:line="252"/>
              <w:jc w:val="left"/>
            </w:pPr>
            <w:r>
              <w:rPr>
                <w:sz w:val="20"/>
                <w:szCs w:val="20"/>
              </w:rPr>
              <w:t xml:space="preserve">States unprompted whether each item is documented or a fictional stakeholder's claim.</w:t>
            </w:r>
          </w:p>
        </w:tc>
        <w:tc>
          <w:tcPr>
            <w:tcW w:type="dxa" w:w="3310"/>
            <w:tcMar>
              <w:top w:type="dxa" w:w="70"/>
              <w:left w:type="dxa" w:w="100"/>
              <w:bottom w:type="dxa" w:w="70"/>
              <w:right w:type="dxa" w:w="100"/>
            </w:tcMar>
            <w:vAlign w:val="top"/>
          </w:tcPr>
          <w:p>
            <w:pPr>
              <w:keepNext/>
              <w:spacing w:after="0" w:line="252"/>
              <w:jc w:val="left"/>
            </w:pPr>
            <w:r>
              <w:rPr>
                <w:sz w:val="20"/>
                <w:szCs w:val="20"/>
              </w:rPr>
              <w:t xml:space="preserve">Uses the distinction strategically, including pressing the other team where it rests on fictional testimony.</w:t>
            </w:r>
          </w:p>
        </w:tc>
      </w:tr>
      <w:tr>
        <w:trPr>
          <w:cantSplit/>
        </w:trPr>
        <w:tc>
          <w:tcPr>
            <w:tcW w:type="dxa" w:w="202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211"/>
            <w:tcMar>
              <w:top w:type="dxa" w:w="70"/>
              <w:left w:type="dxa" w:w="100"/>
              <w:bottom w:type="dxa" w:w="70"/>
              <w:right w:type="dxa" w:w="100"/>
            </w:tcMar>
            <w:vAlign w:val="top"/>
          </w:tcPr>
          <w:p>
            <w:pPr>
              <w:keepNext/>
              <w:spacing w:after="0" w:line="252"/>
              <w:jc w:val="left"/>
            </w:pPr>
            <w:r>
              <w:rPr>
                <w:sz w:val="20"/>
                <w:szCs w:val="20"/>
              </w:rPr>
              <w:t xml:space="preserve">Repeats the constructive case instead of answering.</w:t>
            </w:r>
          </w:p>
        </w:tc>
        <w:tc>
          <w:tcPr>
            <w:tcW w:type="dxa" w:w="2839"/>
            <w:tcMar>
              <w:top w:type="dxa" w:w="70"/>
              <w:left w:type="dxa" w:w="100"/>
              <w:bottom w:type="dxa" w:w="70"/>
              <w:right w:type="dxa" w:w="100"/>
            </w:tcMar>
            <w:vAlign w:val="top"/>
          </w:tcPr>
          <w:p>
            <w:pPr>
              <w:keepNext/>
              <w:spacing w:after="0" w:line="252"/>
              <w:jc w:val="left"/>
            </w:pPr>
            <w:r>
              <w:rPr>
                <w:sz w:val="20"/>
                <w:szCs w:val="20"/>
              </w:rPr>
              <w:t xml:space="preserve">Answers some arguments, mostly by asserting the opposite.</w:t>
            </w:r>
          </w:p>
        </w:tc>
        <w:tc>
          <w:tcPr>
            <w:tcW w:type="dxa" w:w="3292"/>
            <w:tcMar>
              <w:top w:type="dxa" w:w="70"/>
              <w:left w:type="dxa" w:w="100"/>
              <w:bottom w:type="dxa" w:w="70"/>
              <w:right w:type="dxa" w:w="100"/>
            </w:tcMar>
            <w:vAlign w:val="top"/>
          </w:tcPr>
          <w:p>
            <w:pPr>
              <w:keepNext/>
              <w:spacing w:after="0" w:line="252"/>
              <w:jc w:val="left"/>
            </w:pPr>
            <w:r>
              <w:rPr>
                <w:sz w:val="20"/>
                <w:szCs w:val="20"/>
              </w:rPr>
              <w:t xml:space="preserve">Answers each major argument by contesting either its evidence or its reasoning, and says which.</w:t>
            </w:r>
          </w:p>
        </w:tc>
        <w:tc>
          <w:tcPr>
            <w:tcW w:type="dxa" w:w="3310"/>
            <w:tcMar>
              <w:top w:type="dxa" w:w="70"/>
              <w:left w:type="dxa" w:w="100"/>
              <w:bottom w:type="dxa" w:w="70"/>
              <w:right w:type="dxa" w:w="100"/>
            </w:tcMar>
            <w:vAlign w:val="top"/>
          </w:tcPr>
          <w:p>
            <w:pPr>
              <w:keepNext/>
              <w:spacing w:after="0" w:line="252"/>
              <w:jc w:val="left"/>
            </w:pPr>
            <w:r>
              <w:rPr>
                <w:sz w:val="20"/>
                <w:szCs w:val="20"/>
              </w:rPr>
              <w:t xml:space="preserve">Answers each argument at its strongest form, concedes what cannot be contested, and shows why the concession does not decide the round.</w:t>
            </w:r>
          </w:p>
        </w:tc>
      </w:tr>
      <w:tr>
        <w:trPr>
          <w:cantSplit/>
        </w:trPr>
        <w:tc>
          <w:tcPr>
            <w:tcW w:type="dxa" w:w="2028"/>
            <w:tcMar>
              <w:top w:type="dxa" w:w="70"/>
              <w:left w:type="dxa" w:w="100"/>
              <w:bottom w:type="dxa" w:w="70"/>
              <w:right w:type="dxa" w:w="100"/>
            </w:tcMar>
            <w:vAlign w:val="top"/>
          </w:tcPr>
          <w:p>
            <w:pPr>
              <w:keepNext/>
              <w:spacing w:after="0" w:line="252"/>
              <w:jc w:val="left"/>
            </w:pPr>
            <w:r>
              <w:rPr>
                <w:sz w:val="20"/>
                <w:szCs w:val="20"/>
              </w:rPr>
              <w:t xml:space="preserve">Cross-examination</w:t>
            </w:r>
          </w:p>
        </w:tc>
        <w:tc>
          <w:tcPr>
            <w:tcW w:type="dxa" w:w="2211"/>
            <w:tcMar>
              <w:top w:type="dxa" w:w="70"/>
              <w:left w:type="dxa" w:w="100"/>
              <w:bottom w:type="dxa" w:w="70"/>
              <w:right w:type="dxa" w:w="100"/>
            </w:tcMar>
            <w:vAlign w:val="top"/>
          </w:tcPr>
          <w:p>
            <w:pPr>
              <w:keepNext/>
              <w:spacing w:after="0" w:line="252"/>
              <w:jc w:val="left"/>
            </w:pPr>
            <w:r>
              <w:rPr>
                <w:sz w:val="20"/>
                <w:szCs w:val="20"/>
              </w:rPr>
              <w:t xml:space="preserve">Questions are unfocused or rhetorical.</w:t>
            </w:r>
          </w:p>
        </w:tc>
        <w:tc>
          <w:tcPr>
            <w:tcW w:type="dxa" w:w="2839"/>
            <w:tcMar>
              <w:top w:type="dxa" w:w="70"/>
              <w:left w:type="dxa" w:w="100"/>
              <w:bottom w:type="dxa" w:w="70"/>
              <w:right w:type="dxa" w:w="100"/>
            </w:tcMar>
            <w:vAlign w:val="top"/>
          </w:tcPr>
          <w:p>
            <w:pPr>
              <w:keepNext/>
              <w:spacing w:after="0" w:line="252"/>
              <w:jc w:val="left"/>
            </w:pPr>
            <w:r>
              <w:rPr>
                <w:sz w:val="20"/>
                <w:szCs w:val="20"/>
              </w:rPr>
              <w:t xml:space="preserve">Questions seek information but do not advance the case.</w:t>
            </w:r>
          </w:p>
        </w:tc>
        <w:tc>
          <w:tcPr>
            <w:tcW w:type="dxa" w:w="3292"/>
            <w:tcMar>
              <w:top w:type="dxa" w:w="70"/>
              <w:left w:type="dxa" w:w="100"/>
              <w:bottom w:type="dxa" w:w="70"/>
              <w:right w:type="dxa" w:w="100"/>
            </w:tcMar>
            <w:vAlign w:val="top"/>
          </w:tcPr>
          <w:p>
            <w:pPr>
              <w:keepNext/>
              <w:spacing w:after="0" w:line="252"/>
              <w:jc w:val="left"/>
            </w:pPr>
            <w:r>
              <w:rPr>
                <w:sz w:val="20"/>
                <w:szCs w:val="20"/>
              </w:rPr>
              <w:t xml:space="preserve">Questions establish a specific admission the team then uses in rebuttal.</w:t>
            </w:r>
          </w:p>
        </w:tc>
        <w:tc>
          <w:tcPr>
            <w:tcW w:type="dxa" w:w="3310"/>
            <w:tcMar>
              <w:top w:type="dxa" w:w="70"/>
              <w:left w:type="dxa" w:w="100"/>
              <w:bottom w:type="dxa" w:w="70"/>
              <w:right w:type="dxa" w:w="100"/>
            </w:tcMar>
            <w:vAlign w:val="top"/>
          </w:tcPr>
          <w:p>
            <w:pPr>
              <w:keepNext/>
              <w:spacing w:after="0" w:line="252"/>
              <w:jc w:val="left"/>
            </w:pPr>
            <w:r>
              <w:rPr>
                <w:sz w:val="20"/>
                <w:szCs w:val="20"/>
              </w:rPr>
              <w:t xml:space="preserve">Questions are sequenced so that each answer narrows the opponent's options, and the admissions are used explicitly later.</w:t>
            </w:r>
          </w:p>
        </w:tc>
      </w:tr>
      <w:tr>
        <w:trPr>
          <w:cantSplit/>
        </w:trPr>
        <w:tc>
          <w:tcPr>
            <w:tcW w:type="dxa" w:w="2028"/>
            <w:tcMar>
              <w:top w:type="dxa" w:w="70"/>
              <w:left w:type="dxa" w:w="100"/>
              <w:bottom w:type="dxa" w:w="70"/>
              <w:right w:type="dxa" w:w="100"/>
            </w:tcMar>
            <w:vAlign w:val="top"/>
          </w:tcPr>
          <w:p>
            <w:pPr>
              <w:spacing w:after="0" w:line="252"/>
              <w:jc w:val="left"/>
            </w:pPr>
            <w:r>
              <w:rPr>
                <w:sz w:val="20"/>
                <w:szCs w:val="20"/>
              </w:rPr>
              <w:t xml:space="preserve">Delivery and organization</w:t>
            </w:r>
          </w:p>
        </w:tc>
        <w:tc>
          <w:tcPr>
            <w:tcW w:type="dxa" w:w="2211"/>
            <w:tcMar>
              <w:top w:type="dxa" w:w="70"/>
              <w:left w:type="dxa" w:w="100"/>
              <w:bottom w:type="dxa" w:w="70"/>
              <w:right w:type="dxa" w:w="100"/>
            </w:tcMar>
            <w:vAlign w:val="top"/>
          </w:tcPr>
          <w:p>
            <w:pPr>
              <w:spacing w:after="0" w:line="252"/>
              <w:jc w:val="left"/>
            </w:pPr>
            <w:r>
              <w:rPr>
                <w:sz w:val="20"/>
                <w:szCs w:val="20"/>
              </w:rPr>
              <w:t xml:space="preserve">Hard to follow; time limits missed badly.</w:t>
            </w:r>
          </w:p>
        </w:tc>
        <w:tc>
          <w:tcPr>
            <w:tcW w:type="dxa" w:w="2839"/>
            <w:tcMar>
              <w:top w:type="dxa" w:w="70"/>
              <w:left w:type="dxa" w:w="100"/>
              <w:bottom w:type="dxa" w:w="70"/>
              <w:right w:type="dxa" w:w="100"/>
            </w:tcMar>
            <w:vAlign w:val="top"/>
          </w:tcPr>
          <w:p>
            <w:pPr>
              <w:spacing w:after="0" w:line="252"/>
              <w:jc w:val="left"/>
            </w:pPr>
            <w:r>
              <w:rPr>
                <w:sz w:val="20"/>
                <w:szCs w:val="20"/>
              </w:rPr>
              <w:t xml:space="preserve">Structure is present but signposting is unclear; time is uneven.</w:t>
            </w:r>
          </w:p>
        </w:tc>
        <w:tc>
          <w:tcPr>
            <w:tcW w:type="dxa" w:w="3292"/>
            <w:tcMar>
              <w:top w:type="dxa" w:w="70"/>
              <w:left w:type="dxa" w:w="100"/>
              <w:bottom w:type="dxa" w:w="70"/>
              <w:right w:type="dxa" w:w="100"/>
            </w:tcMar>
            <w:vAlign w:val="top"/>
          </w:tcPr>
          <w:p>
            <w:pPr>
              <w:spacing w:after="0" w:line="252"/>
              <w:jc w:val="left"/>
            </w:pPr>
            <w:r>
              <w:rPr>
                <w:sz w:val="20"/>
                <w:szCs w:val="20"/>
              </w:rPr>
              <w:t xml:space="preserve">Case is signposted, arguments are numbered aloud, and time is used fully.</w:t>
            </w:r>
          </w:p>
        </w:tc>
        <w:tc>
          <w:tcPr>
            <w:tcW w:type="dxa" w:w="3310"/>
            <w:tcMar>
              <w:top w:type="dxa" w:w="70"/>
              <w:left w:type="dxa" w:w="100"/>
              <w:bottom w:type="dxa" w:w="70"/>
              <w:right w:type="dxa" w:w="100"/>
            </w:tcMar>
            <w:vAlign w:val="top"/>
          </w:tcPr>
          <w:p>
            <w:pPr>
              <w:spacing w:after="0" w:line="252"/>
              <w:jc w:val="left"/>
            </w:pPr>
            <w:r>
              <w:rPr>
                <w:sz w:val="20"/>
                <w:szCs w:val="20"/>
              </w:rPr>
              <w:t xml:space="preserve">Structure serves the argument, speakers adapt the order in rebuttal to answer what was actually said, and time is managed deliberately.</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Water Meters in Swanton Township: A Debate Kit</dc:title>
  <dc:subject>Debate kit · Grade 12 · English Language Arts</dc:subject>
  <dc:creator>Water for Schools</dc:creator>
  <cp:keywords>Debate kit, Grade 12, English Language Arts</cp:keywords>
  <dc:description>A grade 12 debate kit on whether a fictional township should install hourly reading water meters, with two-sided evidence on leaks, cost, and privacy.</dc:description>
  <cp:lastModifiedBy>Water for Schools</cp:lastModifiedBy>
  <cp:revision>1</cp:revision>
  <dcterms:created xsi:type="dcterms:W3CDTF">2026-10-19T16:28:56.244Z</dcterms:created>
  <dcterms:modified xsi:type="dcterms:W3CDTF">2026-10-19T16:28:56.244Z</dcterms:modified>
</cp:coreProperties>
</file>

<file path=docProps/custom.xml><?xml version="1.0" encoding="utf-8"?>
<Properties xmlns="http://schemas.openxmlformats.org/officeDocument/2006/custom-properties" xmlns:vt="http://schemas.openxmlformats.org/officeDocument/2006/docPropsVTypes"/>
</file>