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Schools Test Every Fountain for PFAS Each Year? A Debate Kit</w:t>
      </w:r>
    </w:p>
    <w:p>
      <w:pPr>
        <w:keepNext/>
        <w:spacing w:after="160"/>
      </w:pPr>
      <w:r>
        <w:rPr>
          <w:color w:val="5B6B70"/>
          <w:sz w:val="20"/>
          <w:szCs w:val="20"/>
        </w:rPr>
        <w:t xml:space="preserve">Debate kit · Grade 7 · English Language Arts</w:t>
      </w:r>
    </w:p>
    <w:p>
      <w:pPr>
        <w:spacing w:after="100" w:line="264"/>
      </w:pPr>
      <w:r>
        <w:rPr>
          <w:i/>
          <w:iCs/>
          <w:color w:val="12333F"/>
          <w:sz w:val="22"/>
          <w:szCs w:val="22"/>
        </w:rPr>
        <w:t xml:space="preserve">A grade 7 debate kit on requiring annual PFAS testing of school drinking fountains, with two-sided evidence on health risk, cost, and regulatory timing.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packets, one per team</w:t>
            </w:r>
          </w:p>
          <w:p>
            <w:pPr>
              <w:spacing w:after="0"/>
            </w:pPr>
            <w:r>
              <w:rPr>
                <w:sz w:val="20"/>
                <w:szCs w:val="20"/>
              </w:rPr>
              <w:t xml:space="preserve">• Index cards for rebuttal notes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resolution about mandatory PFAS testing in schools.</w:t>
      </w:r>
    </w:p>
    <w:p>
      <w:pPr>
        <w:pStyle w:val="ListParagraph"/>
        <w:keepNext/>
        <w:keepLines/>
        <w:numPr>
          <w:ilvl w:val="0"/>
          <w:numId w:val="2"/>
        </w:numPr>
        <w:spacing w:after="60" w:line="264"/>
        <w:ind w:left="720" w:hanging="360"/>
      </w:pPr>
      <w:r>
        <w:rPr>
          <w:sz w:val="22"/>
          <w:szCs w:val="22"/>
        </w:rPr>
        <w:t xml:space="preserve">Students will construct an argument that states a claim and responds to the strongest opposing point.</w:t>
      </w:r>
    </w:p>
    <w:p>
      <w:pPr>
        <w:pStyle w:val="ListParagraph"/>
        <w:keepLines/>
        <w:numPr>
          <w:ilvl w:val="0"/>
          <w:numId w:val="2"/>
        </w:numPr>
        <w:spacing w:after="60" w:line="264"/>
        <w:ind w:left="720" w:hanging="360"/>
      </w:pPr>
      <w:r>
        <w:rPr>
          <w:sz w:val="22"/>
          <w:szCs w:val="22"/>
        </w:rPr>
        <w:t xml:space="preserve">Students will deliver a rebuttal supported by named evidence from the Evidence File.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draft opening statements and rebuttals on the fountain-testing resolution that state a claim and directly acknowledge the strongest opposing point, the grade 7 counterclaim requirement.</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Preparing for the debate requires citing several distinct pieces of evidence from the Evidence File, such as the PFAS limit and the fictional cost estimate, to support each team's position.</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Forever chemicals</w:t>
      </w:r>
      <w:r>
        <w:rPr>
          <w:sz w:val="22"/>
          <w:szCs w:val="22"/>
        </w:rPr>
        <w:t xml:space="preserve">: A nickname for PFAS, human-made chemicals that almost never break down in nature. Because they last so long, they can build up in water, soil, and people.</w:t>
      </w:r>
    </w:p>
    <w:p>
      <w:pPr>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pStyle w:val="Heading2"/>
        <w:keepNext/>
        <w:keepLines/>
      </w:pPr>
      <w:r>
        <w:rPr>
          <w:sz w:val="28"/>
          <w:szCs w:val="28"/>
        </w:rPr>
        <w:t xml:space="preserve">Teacher overview</w:t>
      </w:r>
    </w:p>
    <w:p>
      <w:pPr>
        <w:spacing w:after="100" w:line="264"/>
      </w:pPr>
      <w:r>
        <w:rPr>
          <w:sz w:val="22"/>
          <w:szCs w:val="22"/>
        </w:rPr>
        <w:t xml:space="preserve">This is a two-team structured debate that spans two sessions: a first session in which teams read the Evidence File and draft their opening statements and rebuttal notes, and a second, 50-60 minute session for the structured debate itself. Students argue for or against a resolution requiring a school district to test every drinking fountain in every building for PFAS chemicals each year, a genuinely contested question that pits a direct health precaution against real cost and duplication concerns.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the two strongest points, and give sentence starters for rebuttals: "Our opponents claim ___, but the evidence shows ___, because ___."</w:t>
      </w:r>
    </w:p>
    <w:p>
      <w:pPr>
        <w:pStyle w:val="Heading3"/>
        <w:keepNext/>
        <w:keepLines/>
      </w:pPr>
      <w:r>
        <w:rPr>
          <w:sz w:val="24"/>
          <w:szCs w:val="24"/>
        </w:rPr>
        <w:t xml:space="preserve">Extension (above grade level)</w:t>
      </w:r>
    </w:p>
    <w:p>
      <w:pPr>
        <w:spacing w:after="100" w:line="264"/>
      </w:pPr>
      <w:r>
        <w:rPr>
          <w:sz w:val="22"/>
          <w:szCs w:val="22"/>
        </w:rPr>
        <w:t xml:space="preserve">Ask students to research, using only the Evidence File provided and not outside sources, how the district might design a compromise policy, such as testing only the oldest school buildings each year on a rotating schedule, and incorporate that reasoning into a stronger rebuttal.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PFAS</w:t>
      </w:r>
      <w:r>
        <w:rPr>
          <w:sz w:val="22"/>
          <w:szCs w:val="22"/>
        </w:rPr>
        <w:t xml:space="preserve">, </w:t>
      </w:r>
      <w:r>
        <w:rPr>
          <w:i/>
          <w:iCs/>
          <w:sz w:val="22"/>
          <w:szCs w:val="22"/>
        </w:rPr>
        <w:t xml:space="preserve">forever chemicals</w:t>
      </w:r>
      <w:r>
        <w:rPr>
          <w:sz w:val="22"/>
          <w:szCs w:val="22"/>
        </w:rPr>
        <w:t xml:space="preserve">, and </w:t>
      </w:r>
      <w:r>
        <w:rPr>
          <w:i/>
          <w:iCs/>
          <w:sz w:val="22"/>
          <w:szCs w:val="22"/>
        </w:rPr>
        <w:t xml:space="preserve">maximum contaminant level</w:t>
      </w:r>
      <w:r>
        <w:rPr>
          <w:sz w:val="22"/>
          <w:szCs w:val="22"/>
        </w:rPr>
        <w:t xml:space="preserve"> with simple definitions and a labeled diagram of water moving from a treatment plant, through underground pipes, to a school fountain. Allow students to deliver rebuttals from written notes rather than speaking without notes.</w:t>
      </w:r>
    </w:p>
    <w:p>
      <w:pPr>
        <w:pStyle w:val="Heading2"/>
        <w:keepNext/>
        <w:keepLines/>
      </w:pPr>
      <w:r>
        <w:rPr>
          <w:sz w:val="28"/>
          <w:szCs w:val="28"/>
        </w:rPr>
        <w:t xml:space="preserve">Extensions</w:t>
      </w:r>
    </w:p>
    <w:p>
      <w:pPr>
        <w:spacing w:after="100" w:line="264"/>
      </w:pPr>
      <w:r>
        <w:rPr>
          <w:sz w:val="22"/>
          <w:szCs w:val="22"/>
        </w:rPr>
        <w:t xml:space="preserve">Have students write a one-paragraph letter to the school board that states which side they found more convincing after the debate and cites at least two pieces of evidence from the file to support that position.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Schools Test Every Fountain for PFAS Each Year? A Debate Kit</w:t>
      </w:r>
    </w:p>
    <w:p>
      <w:pPr>
        <w:keepNext/>
        <w:spacing w:after="160"/>
      </w:pPr>
      <w:r>
        <w:rPr>
          <w:color w:val="5B6B70"/>
          <w:sz w:val="20"/>
          <w:szCs w:val="20"/>
        </w:rPr>
        <w:t xml:space="preserve">Grade 7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"This school district should test every drinking fountain for PFAS each year. It should do this even though testing costs money."</w:t>
      </w:r>
    </w:p>
    <w:p>
      <w:pPr>
        <w:spacing w:after="120" w:line="276"/>
      </w:pPr>
      <w:r>
        <w:rPr>
          <w:b/>
          <w:bCs/>
          <w:sz w:val="22"/>
          <w:szCs w:val="22"/>
        </w:rPr>
        <w:t xml:space="preserve">Background:</w:t>
      </w:r>
      <w:r>
        <w:rPr>
          <w:sz w:val="22"/>
          <w:szCs w:val="22"/>
        </w:rPr>
        <w:t xml:space="preserve"> PFAS are a large group of human-made chemicals. They break down very slowly in the environment, which is why people often call them "forever chemicals." A federal rule limits two of these chemicals in drinking water, PFOA and PFOS. The rule sets a maximum contaminant level for each one. A maximum contaminant level is the highest amount that treated drinking water is allowed to contain. For PFOA and PFOS, that amount is 4.0 parts per trillion each. Water utilities must test their treated water at the source to show they meet the limit.</w:t>
      </w:r>
    </w:p>
    <w:p>
      <w:pPr>
        <w:spacing w:after="120" w:line="276"/>
      </w:pPr>
      <w:r>
        <w:rPr>
          <w:sz w:val="22"/>
          <w:szCs w:val="22"/>
        </w:rPr>
        <w:t xml:space="preserve">This debate asks a narrower question. Should a school also test the water inside its own building, at each fountain? Water can pick up some contaminants, such as lead, from old plumbing after it leaves a treatment plant. Whether building plumbing adds PFAS is much less certain.</w:t>
      </w:r>
    </w:p>
    <w:p>
      <w:pPr>
        <w:spacing w:after="120" w:line="276"/>
      </w:pPr>
      <w:r>
        <w:rPr>
          <w:sz w:val="22"/>
          <w:szCs w:val="22"/>
        </w:rPr>
        <w:t xml:space="preserve">The timing of the federal rule matters here as well. Utilities must meet the limit by April 2029. In May 2026, EPA proposed letting utilities that qualify apply for two more years, until April 2031. This would not be an automatic extension for every utility, and the proposal was not final as of September 2026. The 4.0 parts-per-trillion limit itself would not change. Districts still have to decide what to do about their own buildings in the meantime.</w:t>
      </w:r>
    </w:p>
    <w:p>
      <w:pPr>
        <w:pStyle w:val="Heading2"/>
        <w:keepNext/>
        <w:keepLines/>
      </w:pPr>
      <w:r>
        <w:rPr>
          <w:sz w:val="28"/>
          <w:szCs w:val="28"/>
        </w:rPr>
        <w:t xml:space="preserve">Evidence File</w:t>
      </w:r>
    </w:p>
    <w:p>
      <w:pPr>
        <w:keepNext/>
        <w:keepLines/>
        <w:spacing w:after="120" w:line="276"/>
      </w:pPr>
      <w:r>
        <w:rPr>
          <w:b/>
          <w:bCs/>
          <w:sz w:val="22"/>
          <w:szCs w:val="22"/>
        </w:rPr>
        <w:t xml:space="preserve">Case for annual fountain testing:</w:t>
      </w:r>
    </w:p>
    <w:p>
      <w:pPr>
        <w:pStyle w:val="ListParagraph"/>
        <w:keepLines/>
        <w:numPr>
          <w:ilvl w:val="0"/>
          <w:numId w:val="3"/>
        </w:numPr>
        <w:spacing w:after="60" w:line="276"/>
        <w:ind w:left="720" w:hanging="360"/>
      </w:pPr>
      <w:r>
        <w:rPr>
          <w:sz w:val="22"/>
          <w:szCs w:val="22"/>
        </w:rPr>
        <w:t xml:space="preserve">Federal regulators treat even tiny amounts of PFOA and PFOS as a health concern. The limit is 4.0 parts per trillion. That is a small fraction of one part per million. This shows how seriously regulators treat these chemicals in drinking water. (Source: EPA PFAS National Primary Drinking Water Regulation.)</w:t>
      </w:r>
    </w:p>
    <w:p>
      <w:pPr>
        <w:pStyle w:val="ListParagraph"/>
        <w:keepLines/>
        <w:numPr>
          <w:ilvl w:val="0"/>
          <w:numId w:val="3"/>
        </w:numPr>
        <w:spacing w:after="60" w:line="276"/>
        <w:ind w:left="720" w:hanging="360"/>
      </w:pPr>
      <w:r>
        <w:rPr>
          <w:sz w:val="22"/>
          <w:szCs w:val="22"/>
        </w:rPr>
        <w:t xml:space="preserve">PFAS chemicals break down very slowly in nature. A hidden problem, like an aging fountain part, could go undetected for years. Students could be exposed the whole time. (General characteristic of PFAS chemistry, as described in EPA materials.)</w:t>
      </w:r>
    </w:p>
    <w:p>
      <w:pPr>
        <w:pStyle w:val="ListParagraph"/>
        <w:keepLines/>
        <w:numPr>
          <w:ilvl w:val="0"/>
          <w:numId w:val="3"/>
        </w:numPr>
        <w:spacing w:after="60" w:line="276"/>
        <w:ind w:left="720" w:hanging="360"/>
      </w:pPr>
      <w:r>
        <w:rPr>
          <w:sz w:val="22"/>
          <w:szCs w:val="22"/>
        </w:rPr>
        <w:t xml:space="preserve">A fictional student club, the Sabino Valley Green Team, spoke to the school board. The club shared fixture-age records for several schools. Some elementary schools still have fountains from buildings built decades ago. The club argued that old fixtures are exactly where contamination could occur. This risk exists even if the source water tests clean. (Illustrative testimony created for this debate kit, not a documented record.)</w:t>
      </w:r>
    </w:p>
    <w:p>
      <w:pPr>
        <w:pStyle w:val="ListParagraph"/>
        <w:keepLines/>
        <w:numPr>
          <w:ilvl w:val="0"/>
          <w:numId w:val="3"/>
        </w:numPr>
        <w:spacing w:after="60" w:line="276"/>
        <w:ind w:left="720" w:hanging="360"/>
      </w:pPr>
      <w:r>
        <w:rPr>
          <w:sz w:val="22"/>
          <w:szCs w:val="22"/>
        </w:rPr>
        <w:t xml:space="preserve">Utilities must meet the limit by April 2029, and EPA has proposed letting some utilities apply for an exemption that would give them until April 2031. Even so, the 4.0 parts-per-trillion limit itself would not change. Supporters argue a district should test its own fountains now, not wait on a compliance deadline. (Source: EPA PFAS National Primary Drinking Water Regulation and EPA's May 2026 proposal, status as of September 2026.)</w:t>
      </w:r>
    </w:p>
    <w:p>
      <w:pPr>
        <w:spacing w:after="40" w:before="0" w:line="120" w:lineRule="exact"/>
      </w:pPr>
    </w:p>
    <w:p>
      <w:pPr>
        <w:keepNext/>
        <w:keepLines/>
        <w:spacing w:after="120" w:line="276"/>
      </w:pPr>
      <w:r>
        <w:rPr>
          <w:b/>
          <w:bCs/>
          <w:sz w:val="22"/>
          <w:szCs w:val="22"/>
        </w:rPr>
        <w:t xml:space="preserve">Case against mandatory fountain testing:</w:t>
      </w:r>
    </w:p>
    <w:p>
      <w:pPr>
        <w:pStyle w:val="ListParagraph"/>
        <w:keepLines/>
        <w:numPr>
          <w:ilvl w:val="0"/>
          <w:numId w:val="4"/>
        </w:numPr>
        <w:spacing w:after="60" w:line="276"/>
        <w:ind w:left="720" w:hanging="360"/>
      </w:pPr>
      <w:r>
        <w:rPr>
          <w:sz w:val="22"/>
          <w:szCs w:val="22"/>
        </w:rPr>
        <w:t xml:space="preserve">Municipal utilities will be required to meet the EPA's 4.0 parts-per-trillion limit at the source by their compliance deadline. Opponents argue that testing every school fountain duplicates work the utility is required to do. (Source: EPA PFAS National Primary Drinking Water Regulation.)</w:t>
      </w:r>
    </w:p>
    <w:p>
      <w:pPr>
        <w:pStyle w:val="ListParagraph"/>
        <w:keepLines/>
        <w:numPr>
          <w:ilvl w:val="0"/>
          <w:numId w:val="4"/>
        </w:numPr>
        <w:spacing w:after="60" w:line="276"/>
        <w:ind w:left="720" w:hanging="360"/>
      </w:pPr>
      <w:r>
        <w:rPr>
          <w:sz w:val="22"/>
          <w:szCs w:val="22"/>
        </w:rPr>
        <w:t xml:space="preserve">A fictional cost estimate prepared for this debate: testing all 60 fountains across 12 school buildings once a year would cost about $45,000 in lab fees. Replacing an old fountain with a new filtered unit costs roughly $1,200 each. The same $45,000 could instead replace about 37 old fountains with new filtered units, a one-time cost rather than a yearly one. (Illustrative estimate created for this debate kit, not a documented figure.)</w:t>
      </w:r>
    </w:p>
    <w:p>
      <w:pPr>
        <w:pStyle w:val="ListParagraph"/>
        <w:keepLines/>
        <w:numPr>
          <w:ilvl w:val="0"/>
          <w:numId w:val="4"/>
        </w:numPr>
        <w:spacing w:after="60" w:line="276"/>
        <w:ind w:left="720" w:hanging="360"/>
      </w:pPr>
      <w:r>
        <w:rPr>
          <w:sz w:val="22"/>
          <w:szCs w:val="22"/>
        </w:rPr>
        <w:t xml:space="preserve">A fictional facilities director testified that annual testing would require hiring outside contractors. That cost could delay other repairs in older buildings, like heating and roofs. Those repairs also affect student health and safety. (Illustrative testimony created for this debate kit.)</w:t>
      </w:r>
    </w:p>
    <w:p>
      <w:pPr>
        <w:pStyle w:val="ListParagraph"/>
        <w:keepLines/>
        <w:numPr>
          <w:ilvl w:val="0"/>
          <w:numId w:val="4"/>
        </w:numPr>
        <w:spacing w:after="60" w:line="276"/>
        <w:ind w:left="720" w:hanging="360"/>
      </w:pPr>
      <w:r>
        <w:rPr>
          <w:sz w:val="22"/>
          <w:szCs w:val="22"/>
        </w:rPr>
        <w:t xml:space="preserve">PFAS usually enters a water system upstream, at the source, not from fountains themselves. Opponents argue that money spent on repeated testing helps less than the same money spent replacing the oldest fixtures directly.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Schools Test Every Fountain for PFAS Each Year? A Debate Kit</w:t>
      </w:r>
    </w:p>
    <w:p>
      <w:pPr>
        <w:keepNext/>
        <w:spacing w:after="160"/>
      </w:pPr>
      <w:r>
        <w:rPr>
          <w:color w:val="5B6B70"/>
          <w:sz w:val="20"/>
          <w:szCs w:val="20"/>
        </w:rPr>
        <w:t xml:space="preserve">Debate kit · Grade 7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455"/>
        <w:gridCol w:w="3072"/>
        <w:gridCol w:w="3400"/>
        <w:gridCol w:w="324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455"/>
            <w:tcMar>
              <w:top w:type="dxa" w:w="70"/>
              <w:left w:type="dxa" w:w="100"/>
              <w:bottom w:type="dxa" w:w="70"/>
              <w:right w:type="dxa" w:w="100"/>
            </w:tcMar>
            <w:vAlign w:val="top"/>
          </w:tcPr>
          <w:p>
            <w:pPr>
              <w:keepNext/>
              <w:spacing w:after="0" w:line="252"/>
              <w:jc w:val="left"/>
            </w:pPr>
            <w:r>
              <w:rPr>
                <w:sz w:val="20"/>
                <w:szCs w:val="20"/>
              </w:rPr>
              <w:t xml:space="preserve">Repeats a claim with no cited evidence from the Evidence File</w:t>
            </w:r>
          </w:p>
        </w:tc>
        <w:tc>
          <w:tcPr>
            <w:tcW w:type="dxa" w:w="3072"/>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how it supports the team's position</w:t>
            </w:r>
          </w:p>
        </w:tc>
        <w:tc>
          <w:tcPr>
            <w:tcW w:type="dxa" w:w="3400"/>
            <w:tcMar>
              <w:top w:type="dxa" w:w="70"/>
              <w:left w:type="dxa" w:w="100"/>
              <w:bottom w:type="dxa" w:w="70"/>
              <w:right w:type="dxa" w:w="100"/>
            </w:tcMar>
            <w:vAlign w:val="top"/>
          </w:tcPr>
          <w:p>
            <w:pPr>
              <w:keepNext/>
              <w:spacing w:after="0" w:line="252"/>
              <w:jc w:val="left"/>
            </w:pPr>
            <w:r>
              <w:rPr>
                <w:sz w:val="20"/>
                <w:szCs w:val="20"/>
              </w:rPr>
              <w:t xml:space="preserve">Cites at least two pieces of evidence and explains how each supports the team's position</w:t>
            </w:r>
          </w:p>
        </w:tc>
        <w:tc>
          <w:tcPr>
            <w:tcW w:type="dxa" w:w="3245"/>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anticipates the opposing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&amp; rebuttal</w:t>
            </w:r>
          </w:p>
        </w:tc>
        <w:tc>
          <w:tcPr>
            <w:tcW w:type="dxa" w:w="2455"/>
            <w:tcMar>
              <w:top w:type="dxa" w:w="70"/>
              <w:left w:type="dxa" w:w="100"/>
              <w:bottom w:type="dxa" w:w="70"/>
              <w:right w:type="dxa" w:w="100"/>
            </w:tcMar>
            <w:vAlign w:val="top"/>
          </w:tcPr>
          <w:p>
            <w:pPr>
              <w:keepNext/>
              <w:spacing w:after="0" w:line="252"/>
              <w:jc w:val="left"/>
            </w:pPr>
            <w:r>
              <w:rPr>
                <w:sz w:val="20"/>
                <w:szCs w:val="20"/>
              </w:rPr>
              <w:t xml:space="preserve">Does not acknowledge or respond to the opposing team's points</w:t>
            </w:r>
          </w:p>
        </w:tc>
        <w:tc>
          <w:tcPr>
            <w:tcW w:type="dxa" w:w="3072"/>
            <w:tcMar>
              <w:top w:type="dxa" w:w="70"/>
              <w:left w:type="dxa" w:w="100"/>
              <w:bottom w:type="dxa" w:w="70"/>
              <w:right w:type="dxa" w:w="100"/>
            </w:tcMar>
            <w:vAlign w:val="top"/>
          </w:tcPr>
          <w:p>
            <w:pPr>
              <w:keepNext/>
              <w:spacing w:after="0" w:line="252"/>
              <w:jc w:val="left"/>
            </w:pPr>
            <w:r>
              <w:rPr>
                <w:sz w:val="20"/>
                <w:szCs w:val="20"/>
              </w:rPr>
              <w:t xml:space="preserve">Acknowledges an opposing point but does not respond to it with evidence</w:t>
            </w:r>
          </w:p>
        </w:tc>
        <w:tc>
          <w:tcPr>
            <w:tcW w:type="dxa" w:w="3400"/>
            <w:tcMar>
              <w:top w:type="dxa" w:w="70"/>
              <w:left w:type="dxa" w:w="100"/>
              <w:bottom w:type="dxa" w:w="70"/>
              <w:right w:type="dxa" w:w="100"/>
            </w:tcMar>
            <w:vAlign w:val="top"/>
          </w:tcPr>
          <w:p>
            <w:pPr>
              <w:keepNext/>
              <w:spacing w:after="0" w:line="252"/>
              <w:jc w:val="left"/>
            </w:pPr>
            <w:r>
              <w:rPr>
                <w:sz w:val="20"/>
                <w:szCs w:val="20"/>
              </w:rPr>
              <w:t xml:space="preserve">Directly acknowledges the opposing team's strongest point and rebuts it using evidence from the file</w:t>
            </w:r>
          </w:p>
        </w:tc>
        <w:tc>
          <w:tcPr>
            <w:tcW w:type="dxa" w:w="3245"/>
            <w:tcMar>
              <w:top w:type="dxa" w:w="70"/>
              <w:left w:type="dxa" w:w="100"/>
              <w:bottom w:type="dxa" w:w="70"/>
              <w:right w:type="dxa" w:w="100"/>
            </w:tcMar>
            <w:vAlign w:val="top"/>
          </w:tcPr>
          <w:p>
            <w:pPr>
              <w:keepNext/>
              <w:spacing w:after="0" w:line="252"/>
              <w:jc w:val="left"/>
            </w:pPr>
            <w:r>
              <w:rPr>
                <w:sz w:val="20"/>
                <w:szCs w:val="20"/>
              </w:rPr>
              <w:t xml:space="preserve">Rebuts multiple opposing points, explains why the team's evidence outweighs them, and states the counterclaim fairly before responding</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delivery</w:t>
            </w:r>
          </w:p>
        </w:tc>
        <w:tc>
          <w:tcPr>
            <w:tcW w:type="dxa" w:w="2455"/>
            <w:tcMar>
              <w:top w:type="dxa" w:w="70"/>
              <w:left w:type="dxa" w:w="100"/>
              <w:bottom w:type="dxa" w:w="70"/>
              <w:right w:type="dxa" w:w="100"/>
            </w:tcMar>
            <w:vAlign w:val="top"/>
          </w:tcPr>
          <w:p>
            <w:pPr>
              <w:spacing w:after="0" w:line="252"/>
              <w:jc w:val="left"/>
            </w:pPr>
            <w:r>
              <w:rPr>
                <w:sz w:val="20"/>
                <w:szCs w:val="20"/>
              </w:rPr>
              <w:t xml:space="preserve">Argument is difficult to follow, with no clear structure</w:t>
            </w:r>
          </w:p>
        </w:tc>
        <w:tc>
          <w:tcPr>
            <w:tcW w:type="dxa" w:w="3072"/>
            <w:tcMar>
              <w:top w:type="dxa" w:w="70"/>
              <w:left w:type="dxa" w:w="100"/>
              <w:bottom w:type="dxa" w:w="70"/>
              <w:right w:type="dxa" w:w="100"/>
            </w:tcMar>
            <w:vAlign w:val="top"/>
          </w:tcPr>
          <w:p>
            <w:pPr>
              <w:spacing w:after="0" w:line="252"/>
              <w:jc w:val="left"/>
            </w:pPr>
            <w:r>
              <w:rPr>
                <w:sz w:val="20"/>
                <w:szCs w:val="20"/>
              </w:rPr>
              <w:t xml:space="preserve">Argument has a structure but transitions between points are unclear</w:t>
            </w:r>
          </w:p>
        </w:tc>
        <w:tc>
          <w:tcPr>
            <w:tcW w:type="dxa" w:w="3400"/>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245"/>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 throughout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Schools Test Every Fountain for PFAS Each Year? A Debate Kit</dc:title>
  <dc:subject>Debate kit · Grade 7 · English Language Arts</dc:subject>
  <dc:creator>Water for Schools</dc:creator>
  <cp:keywords>Debate kit, Grade 7, English Language Arts</cp:keywords>
  <dc:description>A grade 7 debate kit on requiring annual PFAS testing of school drinking fountains, with two-sided evidence on health risk, cost, and regulatory timing.</dc:description>
  <cp:lastModifiedBy>Water for Schools</cp:lastModifiedBy>
  <cp:revision>1</cp:revision>
  <dcterms:created xsi:type="dcterms:W3CDTF">2026-10-19T16:28:59.734Z</dcterms:created>
  <dcterms:modified xsi:type="dcterms:W3CDTF">2026-10-19T16:28:59.734Z</dcterms:modified>
</cp:coreProperties>
</file>

<file path=docProps/custom.xml><?xml version="1.0" encoding="utf-8"?>
<Properties xmlns="http://schemas.openxmlformats.org/officeDocument/2006/custom-properties" xmlns:vt="http://schemas.openxmlformats.org/officeDocument/2006/docPropsVTypes"/>
</file>