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Redmarley Treat for PFAS Now or Wait for the Deadline?</w:t>
      </w:r>
    </w:p>
    <w:p>
      <w:pPr>
        <w:keepNext/>
        <w:spacing w:after="160"/>
      </w:pPr>
      <w:r>
        <w:rPr>
          <w:color w:val="5B6B70"/>
          <w:sz w:val="20"/>
          <w:szCs w:val="20"/>
        </w:rPr>
        <w:t xml:space="preserve">Debate kit · Grade 9 · English Language Arts</w:t>
      </w:r>
    </w:p>
    <w:p>
      <w:pPr>
        <w:spacing w:after="100" w:line="264"/>
      </w:pPr>
      <w:r>
        <w:rPr>
          <w:i/>
          <w:iCs/>
          <w:color w:val="12333F"/>
          <w:sz w:val="22"/>
          <w:szCs w:val="22"/>
        </w:rPr>
        <w:t xml:space="preserve">A grade 9 debate kit on whether a fictional town builds PFAS treatment now or waits for a grant round and a federal decision on extra time that is still pending.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Timer</w:t>
            </w:r>
          </w:p>
          <w:p>
            <w:pPr>
              <w:spacing w:after="0"/>
            </w:pPr>
            <w:r>
              <w:rPr>
                <w:sz w:val="20"/>
                <w:szCs w:val="20"/>
              </w:rPr>
              <w:t xml:space="preserve">• Note cards for rebuttal prep</w:t>
            </w:r>
          </w:p>
          <w:p>
            <w:pPr>
              <w:spacing w:after="0"/>
            </w:pPr>
            <w:r>
              <w:rPr>
                <w:sz w:val="20"/>
                <w:szCs w:val="20"/>
              </w:rPr>
              <w:t xml:space="preserve">• Printed rubric for each judge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case on a contested water policy question using evidence they did not select.</w:t>
      </w:r>
    </w:p>
    <w:p>
      <w:pPr>
        <w:pStyle w:val="ListParagraph"/>
        <w:keepNext/>
        <w:keepLines/>
        <w:numPr>
          <w:ilvl w:val="0"/>
          <w:numId w:val="2"/>
        </w:numPr>
        <w:spacing w:after="60" w:line="264"/>
        <w:ind w:left="720" w:hanging="360"/>
      </w:pPr>
      <w:r>
        <w:rPr>
          <w:sz w:val="22"/>
          <w:szCs w:val="22"/>
        </w:rPr>
        <w:t xml:space="preserve">Students will answer a specific opposing point with evidence rather than with a general objection.</w:t>
      </w:r>
    </w:p>
    <w:p>
      <w:pPr>
        <w:pStyle w:val="ListParagraph"/>
        <w:keepLines/>
        <w:numPr>
          <w:ilvl w:val="0"/>
          <w:numId w:val="2"/>
        </w:numPr>
        <w:spacing w:after="60" w:line="264"/>
        <w:ind w:left="720" w:hanging="360"/>
      </w:pPr>
      <w:r>
        <w:rPr>
          <w:sz w:val="22"/>
          <w:szCs w:val="22"/>
        </w:rPr>
        <w:t xml:space="preserve">Students will separate documented facts in the evidence file from material written to illustrate the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build cases and rebuttals from a two-sided evidence file they did not assemble, and the closing paragraph asks each student to name the evidence that most moved their own judgment and explain why.</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compliance deadline, capital cost, blending, affordability, rebuttal</w:t>
      </w:r>
    </w:p>
    <w:p>
      <w:pPr>
        <w:pStyle w:val="Heading2"/>
        <w:keepNext/>
        <w:keepLines/>
      </w:pPr>
      <w:r>
        <w:rPr>
          <w:sz w:val="28"/>
          <w:szCs w:val="28"/>
        </w:rPr>
        <w:t xml:space="preserve">Teacher overview</w:t>
      </w:r>
    </w:p>
    <w:p>
      <w:pPr>
        <w:spacing w:after="100" w:line="264"/>
      </w:pPr>
      <w:r>
        <w:rPr>
          <w:sz w:val="22"/>
          <w:szCs w:val="22"/>
        </w:rPr>
        <w:t xml:space="preserve">This kit runs as a two-team debate with three speakers a side, a moderator, and a panel of judges who score with the rubric below. The resolution asks a fictional town to choose between building treatment immediately and waiting for a grant round while a federal proposal that could give it more time is still pending. The question is genuinely contested, because the federal limit is settled while the date Redmarley must meet it by is not, and every year of delay both saves ratepayers money and leaves the wells untreated. Students argue a side they are assigned rather than one they choose, which is the point of the exercise.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an evidence file reduced to one sentence per point with the key phrase highlighted, plus a case card with three slots labeled our claim, our strongest point, and why it matters. For the rebuttal round, supply the frame "The other team said ____, but our evidence shows ____."</w:t>
      </w:r>
    </w:p>
    <w:p>
      <w:pPr>
        <w:pStyle w:val="Heading3"/>
        <w:keepNext/>
        <w:keepLines/>
      </w:pPr>
      <w:r>
        <w:rPr>
          <w:sz w:val="24"/>
          <w:szCs w:val="24"/>
        </w:rPr>
        <w:t xml:space="preserve">Extension</w:t>
      </w:r>
    </w:p>
    <w:p>
      <w:pPr>
        <w:spacing w:after="100" w:line="264"/>
      </w:pPr>
      <w:r>
        <w:rPr>
          <w:sz w:val="22"/>
          <w:szCs w:val="22"/>
        </w:rPr>
        <w:t xml:space="preserve">Assign one student on each team to prepare a position the resolution does not offer, such as building a smaller system sized only for the Cordray well while applying for the grant, and to argue in the final minute why the resolution forces a false choice. That student must still work only from the evidence file.</w:t>
      </w:r>
    </w:p>
    <w:p>
      <w:pPr>
        <w:pStyle w:val="Heading3"/>
        <w:keepNext/>
        <w:keepLines/>
      </w:pPr>
      <w:r>
        <w:rPr>
          <w:sz w:val="24"/>
          <w:szCs w:val="24"/>
        </w:rPr>
        <w:t xml:space="preserve">ELL supports</w:t>
      </w:r>
    </w:p>
    <w:p>
      <w:pPr>
        <w:spacing w:after="100" w:line="264"/>
      </w:pPr>
      <w:r>
        <w:rPr>
          <w:sz w:val="22"/>
          <w:szCs w:val="22"/>
        </w:rPr>
        <w:t xml:space="preserve">Pre-teach compliance deadline, capital cost, blending, and affordability with a short definition and one example each, and provide a simple diagram showing three wells, a blending point, and a carbon vessel. Provide a speaking outline with time markers, and allow prepared speakers to read from a script while the rebuttal speaker uses the sentence frame.</w:t>
      </w:r>
    </w:p>
    <w:p>
      <w:pPr>
        <w:pStyle w:val="Heading2"/>
        <w:keepNext/>
        <w:keepLines/>
      </w:pPr>
      <w:r>
        <w:rPr>
          <w:sz w:val="28"/>
          <w:szCs w:val="28"/>
        </w:rPr>
        <w:t xml:space="preserve">Extensions</w:t>
      </w:r>
    </w:p>
    <w:p>
      <w:pPr>
        <w:spacing w:after="100" w:line="264"/>
      </w:pPr>
      <w:r>
        <w:rPr>
          <w:sz w:val="22"/>
          <w:szCs w:val="22"/>
        </w:rPr>
        <w:t xml:space="preserve">After the debate, have each student write one paragraph naming the single point that most moved their own judgment and explaining why. Tally how often students name illustrative material rather than documented facts, then discuss what that tally suggests about which kinds of evidence persuade a listener.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Redmarley Treat for PFAS Now or Wait for the Deadline?</w:t>
      </w:r>
    </w:p>
    <w:p>
      <w:pPr>
        <w:keepNext/>
        <w:spacing w:after="160"/>
      </w:pPr>
      <w:r>
        <w:rPr>
          <w:color w:val="5B6B70"/>
          <w:sz w:val="20"/>
          <w:szCs w:val="20"/>
        </w:rPr>
        <w:t xml:space="preserve">Grade 9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Redmarley town council should begin building PFAS treatment this year rather than waiting for the state grant round.</w:t>
      </w:r>
    </w:p>
    <w:p>
      <w:pPr>
        <w:spacing w:after="120" w:line="276"/>
      </w:pPr>
      <w:r>
        <w:rPr>
          <w:b/>
          <w:bCs/>
          <w:sz w:val="22"/>
          <w:szCs w:val="22"/>
        </w:rPr>
        <w:t xml:space="preserve">Background.</w:t>
      </w:r>
      <w:r>
        <w:rPr>
          <w:sz w:val="22"/>
          <w:szCs w:val="22"/>
        </w:rPr>
        <w:t xml:space="preserve"> Redmarley is a fictional town of about 18,000 people. Every figure attributed to it below was written for this debate.</w:t>
      </w:r>
    </w:p>
    <w:p>
      <w:pPr>
        <w:spacing w:after="120" w:line="276"/>
      </w:pPr>
      <w:r>
        <w:rPr>
          <w:sz w:val="22"/>
          <w:szCs w:val="22"/>
        </w:rPr>
        <w:t xml:space="preserve">PFAS is a family of manufactured chemicals used for decades in firefighting foam, stain-resistant fabric, and nonstick coatings. They break down very slowly, which is why they turn up in groundwater long after their use has stopped. In April 2024, EPA set national limits for several of them, including PFOA and PFOS. The maximum contaminant level for PFOA and for PFOS is 4.0 parts per trillion each, and water systems must comply by April 2029. In May 2026, EPA proposed letting eligible systems apply for a two-year exemption, to April 2031. It would not be an automatic extension for every system, and the proposal was not yet final as of September 2026. The limit itself would not change. The date for meeting it may, for systems that qualify.</w:t>
      </w:r>
    </w:p>
    <w:p>
      <w:pPr>
        <w:spacing w:after="120" w:line="276"/>
      </w:pPr>
      <w:r>
        <w:rPr>
          <w:sz w:val="22"/>
          <w:szCs w:val="22"/>
        </w:rPr>
        <w:t xml:space="preserve">Redmarley draws its water from three wells. In this scenario, the Cordray and Fenn Street wells have tested above 4.0 parts per trillion for PFOA. The third well, at Ashlar Road, has tested below the limit but produces the least water of the three.</w:t>
      </w:r>
    </w:p>
    <w:p>
      <w:pPr>
        <w:spacing w:after="120" w:line="276"/>
      </w:pPr>
      <w:r>
        <w:rPr>
          <w:sz w:val="22"/>
          <w:szCs w:val="22"/>
        </w:rPr>
        <w:t xml:space="preserve">The town has two workable plans.</w:t>
      </w:r>
    </w:p>
    <w:p>
      <w:pPr>
        <w:spacing w:after="120" w:line="276"/>
      </w:pPr>
      <w:r>
        <w:rPr>
          <w:sz w:val="22"/>
          <w:szCs w:val="22"/>
        </w:rPr>
        <w:t xml:space="preserve">The first plan is to build a granular activated carbon system this year. Carbon vessels remove PFAS as water passes through them, and the carbon has to be replaced and disposed of on a schedule. The town engineer estimates the capital cost at about 6.8 million dollars, with about 400 thousand dollars a year to operate. Paying for it through rates would add roughly 9 dollars a month to the average household bill.</w:t>
      </w:r>
    </w:p>
    <w:p>
      <w:pPr>
        <w:spacing w:after="120" w:line="276"/>
      </w:pPr>
      <w:r>
        <w:rPr>
          <w:sz w:val="22"/>
          <w:szCs w:val="22"/>
        </w:rPr>
        <w:t xml:space="preserve">The second plan is to wait about three years. Redmarley would take the Cordray well out of service, blend the other two, and apply to a state grant round that opens in two years. The town would build after the grant decision and after EPA decides whether to finalize the exemption proposal.</w:t>
      </w:r>
    </w:p>
    <w:p>
      <w:pPr>
        <w:spacing w:after="120" w:line="276"/>
      </w:pPr>
      <w:r>
        <w:rPr>
          <w:sz w:val="22"/>
          <w:szCs w:val="22"/>
        </w:rPr>
        <w:t xml:space="preserve">National context matters here. Combined water and sewer bills across the country rose about 24 percent from 2019 to 2024 and about 5.1 percent more in 2025. A widely used rule of thumb, built from two EPA benchmarks, treats combined water and sewer costs above roughly 4.5 percent of household income as a high burden, although EPA has no single official cutoff.</w:t>
      </w:r>
    </w:p>
    <w:p>
      <w:pPr>
        <w:spacing w:after="120" w:line="276"/>
      </w:pPr>
      <w:r>
        <w:rPr>
          <w:b/>
          <w:bCs/>
          <w:sz w:val="22"/>
          <w:szCs w:val="22"/>
        </w:rPr>
        <w:t xml:space="preserve">Roles.</w:t>
      </w:r>
      <w:r>
        <w:rPr>
          <w:sz w:val="22"/>
          <w:szCs w:val="22"/>
        </w:rPr>
        <w:t xml:space="preserve"> Divide the class into an affirmative team and a negative team of three speakers each. Speakers one and two present prepared points from the evidence file. Speaker three delivers the rebuttal and may use only points the other team actually made. One student moderates and keeps time. Three students judge and score with the rubric. Judges may ask one clarifying question at the end of each side's case.</w:t>
      </w:r>
    </w:p>
    <w:p>
      <w:pPr>
        <w:pStyle w:val="Heading2"/>
        <w:keepNext/>
        <w:keepLines/>
      </w:pPr>
      <w:r>
        <w:rPr>
          <w:sz w:val="28"/>
          <w:szCs w:val="28"/>
        </w:rPr>
        <w:t xml:space="preserve">Evidence File</w:t>
      </w:r>
    </w:p>
    <w:p>
      <w:pPr>
        <w:spacing w:after="120" w:line="276"/>
      </w:pPr>
      <w:r>
        <w:rPr>
          <w:sz w:val="22"/>
          <w:szCs w:val="22"/>
        </w:rPr>
        <w:t xml:space="preserve">Each point names its source. Points marked as illustrative were written for this debate and are not documented facts.</w:t>
      </w:r>
    </w:p>
    <w:p>
      <w:pPr>
        <w:keepNext/>
        <w:keepLines/>
        <w:spacing w:after="120" w:line="276"/>
      </w:pPr>
      <w:r>
        <w:rPr>
          <w:b/>
          <w:bCs/>
          <w:sz w:val="22"/>
          <w:szCs w:val="22"/>
        </w:rPr>
        <w:t xml:space="preserve">Case for building now:</w:t>
      </w:r>
    </w:p>
    <w:p>
      <w:pPr>
        <w:pStyle w:val="ListParagraph"/>
        <w:keepLines/>
        <w:numPr>
          <w:ilvl w:val="0"/>
          <w:numId w:val="3"/>
        </w:numPr>
        <w:spacing w:after="60" w:line="276"/>
        <w:ind w:left="720" w:hanging="360"/>
      </w:pPr>
      <w:r>
        <w:rPr>
          <w:sz w:val="22"/>
          <w:szCs w:val="22"/>
        </w:rPr>
        <w:t xml:space="preserve">The limit is settled even though the date is not. EPA set the maximum contaminant level for PFOA and PFOS at 4.0 parts per trillion each in April 2024, and the May 2026 proposal would not change that limit; it would only let eligible systems apply for up to two more years. Redmarley will have to treat these wells whichever year its deadline lands. (Sources: EPA PFAS National Primary Drinking Water Regulation; EPA proposed extension rule, May 2026.)</w:t>
      </w:r>
    </w:p>
    <w:p>
      <w:pPr>
        <w:pStyle w:val="ListParagraph"/>
        <w:keepLines/>
        <w:numPr>
          <w:ilvl w:val="0"/>
          <w:numId w:val="3"/>
        </w:numPr>
        <w:spacing w:after="60" w:line="276"/>
        <w:ind w:left="720" w:hanging="360"/>
      </w:pPr>
      <w:r>
        <w:rPr>
          <w:sz w:val="22"/>
          <w:szCs w:val="22"/>
        </w:rPr>
        <w:t xml:space="preserve">Waiting does not lower exposure. EPA set the limits because of health concerns identified in its rulemaking, and every year the town serves water above the limit is a year of exposure it could have prevented. (Source: EPA PFAS National Primary Drinking Water Regulation.)</w:t>
      </w:r>
    </w:p>
    <w:p>
      <w:pPr>
        <w:pStyle w:val="ListParagraph"/>
        <w:keepLines/>
        <w:numPr>
          <w:ilvl w:val="0"/>
          <w:numId w:val="3"/>
        </w:numPr>
        <w:spacing w:after="60" w:line="276"/>
        <w:ind w:left="720" w:hanging="360"/>
      </w:pPr>
      <w:r>
        <w:rPr>
          <w:sz w:val="22"/>
          <w:szCs w:val="22"/>
        </w:rPr>
        <w:t xml:space="preserve">Delay has a price of its own. The Redmarley town engineer estimates in this scenario that construction costs would rise by about 1.1 million dollars over three years, which would eat much of any grant the town might win. (Illustrative estimate created for this debate.)</w:t>
      </w:r>
    </w:p>
    <w:p>
      <w:pPr>
        <w:pStyle w:val="ListParagraph"/>
        <w:keepLines/>
        <w:numPr>
          <w:ilvl w:val="0"/>
          <w:numId w:val="3"/>
        </w:numPr>
        <w:spacing w:after="60" w:line="276"/>
        <w:ind w:left="720" w:hanging="360"/>
      </w:pPr>
      <w:r>
        <w:rPr>
          <w:sz w:val="22"/>
          <w:szCs w:val="22"/>
        </w:rPr>
        <w:t xml:space="preserve">Taking a well offline removes the town's margin. A fictional memo from the Redmarley public works director states that with the Cordray well shut, the remaining two wells could not meet a hot August week without restrictions. (Illustrative memo created for this debate.)</w:t>
      </w:r>
    </w:p>
    <w:p>
      <w:pPr>
        <w:spacing w:after="40" w:before="0" w:line="120" w:lineRule="exact"/>
      </w:pPr>
    </w:p>
    <w:p>
      <w:pPr>
        <w:keepNext/>
        <w:keepLines/>
        <w:spacing w:after="120" w:line="276"/>
      </w:pPr>
      <w:r>
        <w:rPr>
          <w:b/>
          <w:bCs/>
          <w:sz w:val="22"/>
          <w:szCs w:val="22"/>
        </w:rPr>
        <w:t xml:space="preserve">Case for waiting:</w:t>
      </w:r>
    </w:p>
    <w:p>
      <w:pPr>
        <w:pStyle w:val="ListParagraph"/>
        <w:keepLines/>
        <w:numPr>
          <w:ilvl w:val="0"/>
          <w:numId w:val="4"/>
        </w:numPr>
        <w:spacing w:after="60" w:line="276"/>
        <w:ind w:left="720" w:hanging="360"/>
      </w:pPr>
      <w:r>
        <w:rPr>
          <w:sz w:val="22"/>
          <w:szCs w:val="22"/>
        </w:rPr>
        <w:t xml:space="preserve">The rule is still in motion. In May 2026, EPA proposed letting eligible systems apply for a two-year exemption that would move their compliance date from April 2029 to April 2031, and the proposal was not yet final as of September 2026. If the proposal is finalized and Redmarley qualifies, the town would have until April 2031. A town that designs and builds while the rule's timing is still being revised risks building the wrong size system at the wrong time. (Sources: EPA PFAS National Primary Drinking Water Regulation; EPA proposed extension rule, May 2026.)</w:t>
      </w:r>
    </w:p>
    <w:p>
      <w:pPr>
        <w:pStyle w:val="ListParagraph"/>
        <w:keepLines/>
        <w:numPr>
          <w:ilvl w:val="0"/>
          <w:numId w:val="4"/>
        </w:numPr>
        <w:spacing w:after="60" w:line="276"/>
        <w:ind w:left="720" w:hanging="360"/>
      </w:pPr>
      <w:r>
        <w:rPr>
          <w:sz w:val="22"/>
          <w:szCs w:val="22"/>
        </w:rPr>
        <w:t xml:space="preserve">Bills are already climbing faster than inflation. Combined water and sewer bills rose about 24 percent from 2019 to 2024 and about 5.1 percent in 2025, and a widely used rule of thumb built from EPA benchmarks treats combined water and sewer costs above roughly 4.5 percent of household income as a high burden. Adding about 9 dollars a month now falls hardest on households already near that line. (Sources: Bluefield Research rate surveys; EPA affordability guidance.)</w:t>
      </w:r>
    </w:p>
    <w:p>
      <w:pPr>
        <w:pStyle w:val="ListParagraph"/>
        <w:keepLines/>
        <w:numPr>
          <w:ilvl w:val="0"/>
          <w:numId w:val="4"/>
        </w:numPr>
        <w:spacing w:after="60" w:line="276"/>
        <w:ind w:left="720" w:hanging="360"/>
      </w:pPr>
      <w:r>
        <w:rPr>
          <w:sz w:val="22"/>
          <w:szCs w:val="22"/>
        </w:rPr>
        <w:t xml:space="preserve">The grant round is real money. A fictional Redmarley finance officer estimates that the state round opening in two years could cover close to a third of the capital cost. Building this year forfeits that chance entirely. (Illustrative estimate created for this debate.)</w:t>
      </w:r>
    </w:p>
    <w:p>
      <w:pPr>
        <w:pStyle w:val="ListParagraph"/>
        <w:keepLines/>
        <w:numPr>
          <w:ilvl w:val="0"/>
          <w:numId w:val="4"/>
        </w:numPr>
        <w:spacing w:after="60" w:line="276"/>
        <w:ind w:left="720" w:hanging="360"/>
      </w:pPr>
      <w:r>
        <w:rPr>
          <w:sz w:val="22"/>
          <w:szCs w:val="22"/>
        </w:rPr>
        <w:t xml:space="preserve">There is a cheaper interim step. A fictional Redmarley operations plan shows that shutting the Cordray well and blending the other two would bring the served water below the limit through the cooler months, at a small fraction of the cost of building now. (Illustrative plan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Redmarley Treat for PFAS Now or Wait for the Deadline?</w:t>
      </w:r>
    </w:p>
    <w:p>
      <w:pPr>
        <w:keepNext/>
        <w:spacing w:after="160"/>
      </w:pPr>
      <w:r>
        <w:rPr>
          <w:color w:val="5B6B70"/>
          <w:sz w:val="20"/>
          <w:szCs w:val="20"/>
        </w:rPr>
        <w:t xml:space="preserve">Debate kit · Grade 9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57"/>
        <w:gridCol w:w="2792"/>
        <w:gridCol w:w="3225"/>
        <w:gridCol w:w="409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57"/>
            <w:tcMar>
              <w:top w:type="dxa" w:w="70"/>
              <w:left w:type="dxa" w:w="100"/>
              <w:bottom w:type="dxa" w:w="70"/>
              <w:right w:type="dxa" w:w="100"/>
            </w:tcMar>
            <w:vAlign w:val="top"/>
          </w:tcPr>
          <w:p>
            <w:pPr>
              <w:keepNext/>
              <w:spacing w:after="0" w:line="252"/>
              <w:jc w:val="left"/>
            </w:pPr>
            <w:r>
              <w:rPr>
                <w:sz w:val="20"/>
                <w:szCs w:val="20"/>
              </w:rPr>
              <w:t xml:space="preserve">Asserts a position without using the file</w:t>
            </w:r>
          </w:p>
        </w:tc>
        <w:tc>
          <w:tcPr>
            <w:tcW w:type="dxa" w:w="2792"/>
            <w:tcMar>
              <w:top w:type="dxa" w:w="70"/>
              <w:left w:type="dxa" w:w="100"/>
              <w:bottom w:type="dxa" w:w="70"/>
              <w:right w:type="dxa" w:w="100"/>
            </w:tcMar>
            <w:vAlign w:val="top"/>
          </w:tcPr>
          <w:p>
            <w:pPr>
              <w:keepNext/>
              <w:spacing w:after="0" w:line="252"/>
              <w:jc w:val="left"/>
            </w:pPr>
            <w:r>
              <w:rPr>
                <w:sz w:val="20"/>
                <w:szCs w:val="20"/>
              </w:rPr>
              <w:t xml:space="preserve">Cites one point without explaining its relevance</w:t>
            </w:r>
          </w:p>
        </w:tc>
        <w:tc>
          <w:tcPr>
            <w:tcW w:type="dxa" w:w="3225"/>
            <w:tcMar>
              <w:top w:type="dxa" w:w="70"/>
              <w:left w:type="dxa" w:w="100"/>
              <w:bottom w:type="dxa" w:w="70"/>
              <w:right w:type="dxa" w:w="100"/>
            </w:tcMar>
            <w:vAlign w:val="top"/>
          </w:tcPr>
          <w:p>
            <w:pPr>
              <w:keepNext/>
              <w:spacing w:after="0" w:line="252"/>
              <w:jc w:val="left"/>
            </w:pPr>
            <w:r>
              <w:rPr>
                <w:sz w:val="20"/>
                <w:szCs w:val="20"/>
              </w:rPr>
              <w:t xml:space="preserve">Cites at least two points and explains how each supports the case</w:t>
            </w:r>
          </w:p>
        </w:tc>
        <w:tc>
          <w:tcPr>
            <w:tcW w:type="dxa" w:w="4098"/>
            <w:tcMar>
              <w:top w:type="dxa" w:w="70"/>
              <w:left w:type="dxa" w:w="100"/>
              <w:bottom w:type="dxa" w:w="70"/>
              <w:right w:type="dxa" w:w="100"/>
            </w:tcMar>
            <w:vAlign w:val="top"/>
          </w:tcPr>
          <w:p>
            <w:pPr>
              <w:keepNext/>
              <w:spacing w:after="0" w:line="252"/>
              <w:jc w:val="left"/>
            </w:pPr>
            <w:r>
              <w:rPr>
                <w:sz w:val="20"/>
                <w:szCs w:val="20"/>
              </w:rPr>
              <w:t xml:space="preserve">Cites several points, explains each, and separates documented facts from illustrative material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57"/>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792"/>
            <w:tcMar>
              <w:top w:type="dxa" w:w="70"/>
              <w:left w:type="dxa" w:w="100"/>
              <w:bottom w:type="dxa" w:w="70"/>
              <w:right w:type="dxa" w:w="100"/>
            </w:tcMar>
            <w:vAlign w:val="top"/>
          </w:tcPr>
          <w:p>
            <w:pPr>
              <w:keepNext/>
              <w:spacing w:after="0" w:line="252"/>
              <w:jc w:val="left"/>
            </w:pPr>
            <w:r>
              <w:rPr>
                <w:sz w:val="20"/>
                <w:szCs w:val="20"/>
              </w:rPr>
              <w:t xml:space="preserve">Responds in general terms without naming the opposing point</w:t>
            </w:r>
          </w:p>
        </w:tc>
        <w:tc>
          <w:tcPr>
            <w:tcW w:type="dxa" w:w="3225"/>
            <w:tcMar>
              <w:top w:type="dxa" w:w="70"/>
              <w:left w:type="dxa" w:w="100"/>
              <w:bottom w:type="dxa" w:w="70"/>
              <w:right w:type="dxa" w:w="100"/>
            </w:tcMar>
            <w:vAlign w:val="top"/>
          </w:tcPr>
          <w:p>
            <w:pPr>
              <w:keepNext/>
              <w:spacing w:after="0" w:line="252"/>
              <w:jc w:val="left"/>
            </w:pPr>
            <w:r>
              <w:rPr>
                <w:sz w:val="20"/>
                <w:szCs w:val="20"/>
              </w:rPr>
              <w:t xml:space="preserve">Names a specific opposing point and answers it with evidence</w:t>
            </w:r>
          </w:p>
        </w:tc>
        <w:tc>
          <w:tcPr>
            <w:tcW w:type="dxa" w:w="4098"/>
            <w:tcMar>
              <w:top w:type="dxa" w:w="70"/>
              <w:left w:type="dxa" w:w="100"/>
              <w:bottom w:type="dxa" w:w="70"/>
              <w:right w:type="dxa" w:w="100"/>
            </w:tcMar>
            <w:vAlign w:val="top"/>
          </w:tcPr>
          <w:p>
            <w:pPr>
              <w:keepNext/>
              <w:spacing w:after="0" w:line="252"/>
              <w:jc w:val="left"/>
            </w:pPr>
            <w:r>
              <w:rPr>
                <w:sz w:val="20"/>
                <w:szCs w:val="20"/>
              </w:rPr>
              <w:t xml:space="preserve">Answers the opposing team's strongest point and shows why its own evidence outweighs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w:t>
            </w:r>
          </w:p>
        </w:tc>
        <w:tc>
          <w:tcPr>
            <w:tcW w:type="dxa" w:w="2057"/>
            <w:tcMar>
              <w:top w:type="dxa" w:w="70"/>
              <w:left w:type="dxa" w:w="100"/>
              <w:bottom w:type="dxa" w:w="70"/>
              <w:right w:type="dxa" w:w="100"/>
            </w:tcMar>
            <w:vAlign w:val="top"/>
          </w:tcPr>
          <w:p>
            <w:pPr>
              <w:keepNext/>
              <w:spacing w:after="0" w:line="252"/>
              <w:jc w:val="left"/>
            </w:pPr>
            <w:r>
              <w:rPr>
                <w:sz w:val="20"/>
                <w:szCs w:val="20"/>
              </w:rPr>
              <w:t xml:space="preserve">Reasons are missing or restate the claim</w:t>
            </w:r>
          </w:p>
        </w:tc>
        <w:tc>
          <w:tcPr>
            <w:tcW w:type="dxa" w:w="2792"/>
            <w:tcMar>
              <w:top w:type="dxa" w:w="70"/>
              <w:left w:type="dxa" w:w="100"/>
              <w:bottom w:type="dxa" w:w="70"/>
              <w:right w:type="dxa" w:w="100"/>
            </w:tcMar>
            <w:vAlign w:val="top"/>
          </w:tcPr>
          <w:p>
            <w:pPr>
              <w:keepNext/>
              <w:spacing w:after="0" w:line="252"/>
              <w:jc w:val="left"/>
            </w:pPr>
            <w:r>
              <w:rPr>
                <w:sz w:val="20"/>
                <w:szCs w:val="20"/>
              </w:rPr>
              <w:t xml:space="preserve">Gives one reason with a gap between evidence and claim</w:t>
            </w:r>
          </w:p>
        </w:tc>
        <w:tc>
          <w:tcPr>
            <w:tcW w:type="dxa" w:w="3225"/>
            <w:tcMar>
              <w:top w:type="dxa" w:w="70"/>
              <w:left w:type="dxa" w:w="100"/>
              <w:bottom w:type="dxa" w:w="70"/>
              <w:right w:type="dxa" w:w="100"/>
            </w:tcMar>
            <w:vAlign w:val="top"/>
          </w:tcPr>
          <w:p>
            <w:pPr>
              <w:keepNext/>
              <w:spacing w:after="0" w:line="252"/>
              <w:jc w:val="left"/>
            </w:pPr>
            <w:r>
              <w:rPr>
                <w:sz w:val="20"/>
                <w:szCs w:val="20"/>
              </w:rPr>
              <w:t xml:space="preserve">Connects each piece of evidence to the claim explicitly</w:t>
            </w:r>
          </w:p>
        </w:tc>
        <w:tc>
          <w:tcPr>
            <w:tcW w:type="dxa" w:w="4098"/>
            <w:tcMar>
              <w:top w:type="dxa" w:w="70"/>
              <w:left w:type="dxa" w:w="100"/>
              <w:bottom w:type="dxa" w:w="70"/>
              <w:right w:type="dxa" w:w="100"/>
            </w:tcMar>
            <w:vAlign w:val="top"/>
          </w:tcPr>
          <w:p>
            <w:pPr>
              <w:keepNext/>
              <w:spacing w:after="0" w:line="252"/>
              <w:jc w:val="left"/>
            </w:pPr>
            <w:r>
              <w:rPr>
                <w:sz w:val="20"/>
                <w:szCs w:val="20"/>
              </w:rPr>
              <w:t xml:space="preserve">Connects evidence to claim and anticipates the objection before it is raised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057"/>
            <w:tcMar>
              <w:top w:type="dxa" w:w="70"/>
              <w:left w:type="dxa" w:w="100"/>
              <w:bottom w:type="dxa" w:w="70"/>
              <w:right w:type="dxa" w:w="100"/>
            </w:tcMar>
            <w:vAlign w:val="top"/>
          </w:tcPr>
          <w:p>
            <w:pPr>
              <w:spacing w:after="0" w:line="252"/>
              <w:jc w:val="left"/>
            </w:pPr>
            <w:r>
              <w:rPr>
                <w:sz w:val="20"/>
                <w:szCs w:val="20"/>
              </w:rPr>
              <w:t xml:space="preserve">Hard to follow, with no visible structure</w:t>
            </w:r>
          </w:p>
        </w:tc>
        <w:tc>
          <w:tcPr>
            <w:tcW w:type="dxa" w:w="2792"/>
            <w:tcMar>
              <w:top w:type="dxa" w:w="70"/>
              <w:left w:type="dxa" w:w="100"/>
              <w:bottom w:type="dxa" w:w="70"/>
              <w:right w:type="dxa" w:w="100"/>
            </w:tcMar>
            <w:vAlign w:val="top"/>
          </w:tcPr>
          <w:p>
            <w:pPr>
              <w:spacing w:after="0" w:line="252"/>
              <w:jc w:val="left"/>
            </w:pPr>
            <w:r>
              <w:rPr>
                <w:sz w:val="20"/>
                <w:szCs w:val="20"/>
              </w:rPr>
              <w:t xml:space="preserve">Structure is present but transitions are unclear</w:t>
            </w:r>
          </w:p>
        </w:tc>
        <w:tc>
          <w:tcPr>
            <w:tcW w:type="dxa" w:w="3225"/>
            <w:tcMar>
              <w:top w:type="dxa" w:w="70"/>
              <w:left w:type="dxa" w:w="100"/>
              <w:bottom w:type="dxa" w:w="70"/>
              <w:right w:type="dxa" w:w="100"/>
            </w:tcMar>
            <w:vAlign w:val="top"/>
          </w:tcPr>
          <w:p>
            <w:pPr>
              <w:spacing w:after="0" w:line="252"/>
              <w:jc w:val="left"/>
            </w:pPr>
            <w:r>
              <w:rPr>
                <w:sz w:val="20"/>
                <w:szCs w:val="20"/>
              </w:rPr>
              <w:t xml:space="preserve">Clear claim, ordered evidence, and a conclusion, delivered audibly</w:t>
            </w:r>
          </w:p>
        </w:tc>
        <w:tc>
          <w:tcPr>
            <w:tcW w:type="dxa" w:w="4098"/>
            <w:tcMar>
              <w:top w:type="dxa" w:w="70"/>
              <w:left w:type="dxa" w:w="100"/>
              <w:bottom w:type="dxa" w:w="70"/>
              <w:right w:type="dxa" w:w="100"/>
            </w:tcMar>
            <w:vAlign w:val="top"/>
          </w:tcPr>
          <w:p>
            <w:pPr>
              <w:spacing w:after="0" w:line="252"/>
              <w:jc w:val="left"/>
            </w:pPr>
            <w:r>
              <w:rPr>
                <w:sz w:val="20"/>
                <w:szCs w:val="20"/>
              </w:rPr>
              <w:t xml:space="preserve">Clear structure, confident delivery, and timing managed within the round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Redmarley Treat for PFAS Now or Wait for the Deadline?</dc:title>
  <dc:subject>Debate kit · Grade 9 · English Language Arts</dc:subject>
  <dc:creator>Water for Schools</dc:creator>
  <cp:keywords>Debate kit, Grade 9, English Language Arts</cp:keywords>
  <dc:description>A grade 9 debate kit on whether a fictional town builds PFAS treatment now or waits for a grant round and a federal decision on extra time that is still pending.</dc:description>
  <cp:lastModifiedBy>Water for Schools</cp:lastModifiedBy>
  <cp:revision>1</cp:revision>
  <dcterms:created xsi:type="dcterms:W3CDTF">2026-10-19T16:29:01.268Z</dcterms:created>
  <dcterms:modified xsi:type="dcterms:W3CDTF">2026-10-19T16:29:01.268Z</dcterms:modified>
</cp:coreProperties>
</file>

<file path=docProps/custom.xml><?xml version="1.0" encoding="utf-8"?>
<Properties xmlns="http://schemas.openxmlformats.org/officeDocument/2006/custom-properties" xmlns:vt="http://schemas.openxmlformats.org/officeDocument/2006/docPropsVTypes"/>
</file>