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Answering the Thrapton Drought Surcharge Comments</w:t>
      </w:r>
    </w:p>
    <w:p>
      <w:pPr>
        <w:keepNext/>
        <w:spacing w:after="160"/>
      </w:pPr>
      <w:r>
        <w:rPr>
          <w:color w:val="5B6B70"/>
          <w:sz w:val="20"/>
          <w:szCs w:val="20"/>
        </w:rPr>
        <w:t xml:space="preserve">Project · Grade 9 · English Language Arts</w:t>
      </w:r>
    </w:p>
    <w:p>
      <w:pPr>
        <w:spacing w:after="100" w:line="264"/>
      </w:pPr>
      <w:r>
        <w:rPr>
          <w:i/>
          <w:iCs/>
          <w:color w:val="12333F"/>
          <w:sz w:val="22"/>
          <w:szCs w:val="22"/>
        </w:rPr>
        <w:t xml:space="preserve">A five-session grade 9 ELA project in which students restate eight fictional public comments on a drought surcharge and draft the water board's formal written reply.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comment packet, one per student</w:t>
            </w:r>
          </w:p>
          <w:p>
            <w:pPr>
              <w:spacing w:after="0"/>
            </w:pPr>
            <w:r>
              <w:rPr>
                <w:sz w:val="20"/>
                <w:szCs w:val="20"/>
              </w:rPr>
              <w:t xml:space="preserve">• Chart paper and markers for the category sort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an opposing comment in one sentence its writer would accept as accurate.</w:t>
      </w:r>
    </w:p>
    <w:p>
      <w:pPr>
        <w:pStyle w:val="ListParagraph"/>
        <w:keepNext/>
        <w:keepLines/>
        <w:numPr>
          <w:ilvl w:val="0"/>
          <w:numId w:val="2"/>
        </w:numPr>
        <w:spacing w:after="60" w:line="264"/>
        <w:ind w:left="720" w:hanging="360"/>
      </w:pPr>
      <w:r>
        <w:rPr>
          <w:sz w:val="22"/>
          <w:szCs w:val="22"/>
        </w:rPr>
        <w:t xml:space="preserve">Students will group public comments into named categories and justify each grouping rule.</w:t>
      </w:r>
    </w:p>
    <w:p>
      <w:pPr>
        <w:pStyle w:val="ListParagraph"/>
        <w:keepLines/>
        <w:numPr>
          <w:ilvl w:val="0"/>
          <w:numId w:val="2"/>
        </w:numPr>
        <w:spacing w:after="60" w:line="264"/>
        <w:ind w:left="720" w:hanging="360"/>
      </w:pPr>
      <w:r>
        <w:rPr>
          <w:sz w:val="22"/>
          <w:szCs w:val="22"/>
        </w:rPr>
        <w:t xml:space="preserve">Students will draft a formal response that concedes one point and rebuts the strongest objection with a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Milestone 3 requires teams to rank the objections and then answer the strongest one in the response document with a concession, a reason, and evidence drawn from the board's own record.</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response document must organize eight scattered comments into named categories and hold a formal register for a public meeting packet, which is the selection and organization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concession, qualifier, rebuttal, paraphrase, register, attribution</w:t>
      </w:r>
    </w:p>
    <w:p>
      <w:pPr>
        <w:pStyle w:val="Heading2"/>
        <w:keepNext/>
        <w:keepLines/>
      </w:pPr>
      <w:r>
        <w:rPr>
          <w:sz w:val="28"/>
          <w:szCs w:val="28"/>
        </w:rPr>
        <w:t xml:space="preserve">Teacher overview</w:t>
      </w:r>
    </w:p>
    <w:p>
      <w:pPr>
        <w:spacing w:after="100" w:line="264"/>
      </w:pPr>
      <w:r>
        <w:rPr>
          <w:sz w:val="22"/>
          <w:szCs w:val="22"/>
        </w:rPr>
        <w:t xml:space="preserve">Over five sessions, students take on a genre that public agencies actually produce: the written response to public comments. The comments come from a fictional summer surcharge proposal in the town of Thrapton, and the final deliverable is a formal reply that a board could post with its meeting packet. The misconception worth naming before students begin is that a counterclaim is something a writer invents in order to knock it down; in this genre the objection is already written, by a person who will read the reply, so a restatement that the commenter would reject is a failure no matter how elegant the rebuttal that follows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category names already written, so Session 2 becomes placing comments rather than inventing labels. Provide a restatement frame for Session 1: "Ms. Ordway objects that the rule would ____ because ____." Allow the memo in Session 5 to be four sentences rather than a full page.</w:t>
      </w:r>
    </w:p>
    <w:p>
      <w:pPr>
        <w:pStyle w:val="Heading3"/>
        <w:keepNext/>
        <w:keepLines/>
      </w:pPr>
      <w:r>
        <w:rPr>
          <w:sz w:val="24"/>
          <w:szCs w:val="24"/>
        </w:rPr>
        <w:t xml:space="preserve">Extension</w:t>
      </w:r>
    </w:p>
    <w:p>
      <w:pPr>
        <w:spacing w:after="100" w:line="264"/>
      </w:pPr>
      <w:r>
        <w:rPr>
          <w:sz w:val="22"/>
          <w:szCs w:val="22"/>
        </w:rPr>
        <w:t xml:space="preserve">Ask these students to write a second version of the response addressed to a different reader, such as a reporter covering the meeting, and to mark every sentence that had to change. They then write a short note explaining which changes came from the reader's knowledge and which came from the reader's purpose.</w:t>
      </w:r>
    </w:p>
    <w:p>
      <w:pPr>
        <w:pStyle w:val="Heading3"/>
        <w:keepNext/>
        <w:keepLines/>
      </w:pPr>
      <w:r>
        <w:rPr>
          <w:sz w:val="24"/>
          <w:szCs w:val="24"/>
        </w:rPr>
        <w:t xml:space="preserve">ELL supports</w:t>
      </w:r>
    </w:p>
    <w:p>
      <w:pPr>
        <w:spacing w:after="100" w:line="264"/>
      </w:pPr>
      <w:r>
        <w:rPr>
          <w:sz w:val="22"/>
          <w:szCs w:val="22"/>
        </w:rPr>
        <w:t xml:space="preserve">Pre-teach concession, rebuttal, paraphrase, and register with one short definition and one example each, drawn from the comment packet itself. Allow Session 1 restatements to be spoken to a partner and recorded before they are written. Provide a two-column glossary that pairs each formal phrase used in the response, such as "the board acknowledges," with a plain equivalent.</w:t>
      </w:r>
    </w:p>
    <w:p>
      <w:pPr>
        <w:pStyle w:val="Heading2"/>
        <w:keepNext/>
        <w:keepLines/>
      </w:pPr>
      <w:r>
        <w:rPr>
          <w:sz w:val="28"/>
          <w:szCs w:val="28"/>
        </w:rPr>
        <w:t xml:space="preserve">Extensions</w:t>
      </w:r>
    </w:p>
    <w:p>
      <w:pPr>
        <w:spacing w:after="100" w:line="264"/>
      </w:pPr>
      <w:r>
        <w:rPr>
          <w:sz w:val="22"/>
          <w:szCs w:val="22"/>
        </w:rPr>
        <w:t xml:space="preserve">Ask students to find a real public notice or published response to comments for a water or sewer rate change in their own area and to compare its structure with the fictional document they wrote. A short class discussion can then identify which parts of a real response are required by law and which parts are choices the writer made.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Answering the Thrapton Drought Surcharge Comments</w:t>
      </w:r>
    </w:p>
    <w:p>
      <w:pPr>
        <w:keepNext/>
        <w:spacing w:after="160"/>
      </w:pPr>
      <w:r>
        <w:rPr>
          <w:color w:val="5B6B70"/>
          <w:sz w:val="20"/>
          <w:szCs w:val="20"/>
        </w:rPr>
        <w:t xml:space="preserve">Grade 9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do you answer eight commenters, most of whom disagree with you, in one document, without misrepresenting a single one of them?</w:t>
      </w:r>
    </w:p>
    <w:p>
      <w:pPr>
        <w:spacing w:after="120" w:line="276"/>
      </w:pPr>
      <w:r>
        <w:rPr>
          <w:b/>
          <w:bCs/>
          <w:sz w:val="22"/>
          <w:szCs w:val="22"/>
        </w:rPr>
        <w:t xml:space="preserve">Scenario.</w:t>
      </w:r>
      <w:r>
        <w:rPr>
          <w:sz w:val="22"/>
          <w:szCs w:val="22"/>
        </w:rPr>
        <w:t xml:space="preserve"> The Thrapton Water Board is fictional, and so is every comment below. The board has proposed a summer surcharge. A household that uses more than twelve thousand gallons in a billing month would pay an extra charge on every thousand gallons above that line. The comment period closed on Friday. Eight comments arrived. The board's clerk has asked your class to draft the written response.</w:t>
      </w:r>
    </w:p>
    <w:p>
      <w:pPr>
        <w:keepNext/>
        <w:keepLines/>
        <w:spacing w:after="120" w:line="276"/>
      </w:pPr>
      <w:r>
        <w:rPr>
          <w:b/>
          <w:bCs/>
          <w:sz w:val="22"/>
          <w:szCs w:val="22"/>
        </w:rPr>
        <w:t xml:space="preserve">The eight comments.</w:t>
      </w:r>
    </w:p>
    <w:p>
      <w:pPr>
        <w:pStyle w:val="ListParagraph"/>
        <w:keepLines/>
        <w:numPr>
          <w:ilvl w:val="0"/>
          <w:numId w:val="3"/>
        </w:numPr>
        <w:spacing w:after="60" w:line="276"/>
        <w:ind w:left="720" w:hanging="360"/>
      </w:pPr>
      <w:r>
        <w:rPr>
          <w:sz w:val="22"/>
          <w:szCs w:val="22"/>
        </w:rPr>
        <w:t xml:space="preserve">Bea Ordway, homeowner. "I have four children and a vegetable garden. Twelve thousand gallons is not a lot for a house this size. This rule charges families for being families."</w:t>
      </w:r>
    </w:p>
    <w:p>
      <w:pPr>
        <w:pStyle w:val="ListParagraph"/>
        <w:keepLines/>
        <w:numPr>
          <w:ilvl w:val="0"/>
          <w:numId w:val="3"/>
        </w:numPr>
        <w:spacing w:after="60" w:line="276"/>
        <w:ind w:left="720" w:hanging="360"/>
      </w:pPr>
      <w:r>
        <w:rPr>
          <w:sz w:val="22"/>
          <w:szCs w:val="22"/>
        </w:rPr>
        <w:t xml:space="preserve">Delmar Hoyt, retired. "I put in a low-flow shower head years ago and I water nothing. Now I pay for a program my neighbors made necessary."</w:t>
      </w:r>
    </w:p>
    <w:p>
      <w:pPr>
        <w:pStyle w:val="ListParagraph"/>
        <w:keepLines/>
        <w:numPr>
          <w:ilvl w:val="0"/>
          <w:numId w:val="3"/>
        </w:numPr>
        <w:spacing w:after="60" w:line="276"/>
        <w:ind w:left="720" w:hanging="360"/>
      </w:pPr>
      <w:r>
        <w:rPr>
          <w:sz w:val="22"/>
          <w:szCs w:val="22"/>
        </w:rPr>
        <w:t xml:space="preserve">Nadia Kell, renter. "My landlord pays the water bill. There is a toilet in my unit that has run since March and I am not allowed to fix it. The charge will reach me as rent, and I cannot do one thing about it."</w:t>
      </w:r>
    </w:p>
    <w:p>
      <w:pPr>
        <w:pStyle w:val="ListParagraph"/>
        <w:keepLines/>
        <w:numPr>
          <w:ilvl w:val="0"/>
          <w:numId w:val="3"/>
        </w:numPr>
        <w:spacing w:after="60" w:line="276"/>
        <w:ind w:left="720" w:hanging="360"/>
      </w:pPr>
      <w:r>
        <w:rPr>
          <w:sz w:val="22"/>
          <w:szCs w:val="22"/>
        </w:rPr>
        <w:t xml:space="preserve">Owen Rask, owner of a lawn care company. "You will cost this town twenty jobs. I would ask how many board members have ever met a payroll."</w:t>
      </w:r>
    </w:p>
    <w:p>
      <w:pPr>
        <w:pStyle w:val="ListParagraph"/>
        <w:keepLines/>
        <w:numPr>
          <w:ilvl w:val="0"/>
          <w:numId w:val="3"/>
        </w:numPr>
        <w:spacing w:after="60" w:line="276"/>
        <w:ind w:left="720" w:hanging="360"/>
      </w:pPr>
      <w:r>
        <w:rPr>
          <w:sz w:val="22"/>
          <w:szCs w:val="22"/>
        </w:rPr>
        <w:t xml:space="preserve">Priya Vance, science teacher. "The board's own pumping records show that town use nearly doubles in July. A price that rises in July is the right tool for a problem that only shows up in July."</w:t>
      </w:r>
    </w:p>
    <w:p>
      <w:pPr>
        <w:pStyle w:val="ListParagraph"/>
        <w:keepLines/>
        <w:numPr>
          <w:ilvl w:val="0"/>
          <w:numId w:val="3"/>
        </w:numPr>
        <w:spacing w:after="60" w:line="276"/>
        <w:ind w:left="720" w:hanging="360"/>
      </w:pPr>
      <w:r>
        <w:rPr>
          <w:sz w:val="22"/>
          <w:szCs w:val="22"/>
        </w:rPr>
        <w:t xml:space="preserve">Cal Trimble, homeowner. "Fix the leaks in your own pipes before you charge me for mine."</w:t>
      </w:r>
    </w:p>
    <w:p>
      <w:pPr>
        <w:pStyle w:val="ListParagraph"/>
        <w:keepLines/>
        <w:numPr>
          <w:ilvl w:val="0"/>
          <w:numId w:val="3"/>
        </w:numPr>
        <w:spacing w:after="60" w:line="276"/>
        <w:ind w:left="720" w:hanging="360"/>
      </w:pPr>
      <w:r>
        <w:rPr>
          <w:sz w:val="22"/>
          <w:szCs w:val="22"/>
        </w:rPr>
        <w:t xml:space="preserve">Ruth Gadd, owner of a laundromat. "A charge aimed at lawns will land on a business that cannot cut water without cutting hours."</w:t>
      </w:r>
    </w:p>
    <w:p>
      <w:pPr>
        <w:pStyle w:val="ListParagraph"/>
        <w:keepLines/>
        <w:numPr>
          <w:ilvl w:val="0"/>
          <w:numId w:val="3"/>
        </w:numPr>
        <w:spacing w:after="60" w:line="276"/>
        <w:ind w:left="720" w:hanging="360"/>
      </w:pPr>
      <w:r>
        <w:rPr>
          <w:sz w:val="22"/>
          <w:szCs w:val="22"/>
        </w:rPr>
        <w:t xml:space="preserve">Comment filed without a name. "This is a tax. The board should call it what it is."</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response runs between seven hundred and nine hundred words.</w:t>
      </w:r>
    </w:p>
    <w:p>
      <w:pPr>
        <w:pStyle w:val="ListParagraph"/>
        <w:keepNext/>
        <w:keepLines/>
        <w:numPr>
          <w:ilvl w:val="0"/>
          <w:numId w:val="4"/>
        </w:numPr>
        <w:spacing w:after="60" w:line="276"/>
        <w:ind w:left="720" w:hanging="360"/>
      </w:pPr>
      <w:r>
        <w:rPr>
          <w:sz w:val="22"/>
          <w:szCs w:val="22"/>
        </w:rPr>
        <w:t xml:space="preserve">Every one of the eight comments is addressed at least once, by name where the writer gave one.</w:t>
      </w:r>
    </w:p>
    <w:p>
      <w:pPr>
        <w:pStyle w:val="ListParagraph"/>
        <w:keepNext/>
        <w:keepLines/>
        <w:numPr>
          <w:ilvl w:val="0"/>
          <w:numId w:val="4"/>
        </w:numPr>
        <w:spacing w:after="60" w:line="276"/>
        <w:ind w:left="720" w:hanging="360"/>
      </w:pPr>
      <w:r>
        <w:rPr>
          <w:sz w:val="22"/>
          <w:szCs w:val="22"/>
        </w:rPr>
        <w:t xml:space="preserve">Each restatement runs twenty-five words or fewer.</w:t>
      </w:r>
    </w:p>
    <w:p>
      <w:pPr>
        <w:pStyle w:val="ListParagraph"/>
        <w:keepNext/>
        <w:keepLines/>
        <w:numPr>
          <w:ilvl w:val="0"/>
          <w:numId w:val="4"/>
        </w:numPr>
        <w:spacing w:after="60" w:line="276"/>
        <w:ind w:left="720" w:hanging="360"/>
      </w:pPr>
      <w:r>
        <w:rPr>
          <w:sz w:val="22"/>
          <w:szCs w:val="22"/>
        </w:rPr>
        <w:t xml:space="preserve">No comment may be set aside without a stated reason.</w:t>
      </w:r>
    </w:p>
    <w:p>
      <w:pPr>
        <w:pStyle w:val="ListParagraph"/>
        <w:keepNext/>
        <w:keepLines/>
        <w:numPr>
          <w:ilvl w:val="0"/>
          <w:numId w:val="4"/>
        </w:numPr>
        <w:spacing w:after="60" w:line="276"/>
        <w:ind w:left="720" w:hanging="360"/>
      </w:pPr>
      <w:r>
        <w:rPr>
          <w:sz w:val="22"/>
          <w:szCs w:val="22"/>
        </w:rPr>
        <w:t xml:space="preserve">The document quotes at least two commenters directly. Each quotation runs under fifteen words and is punctuated and attributed correctly.</w:t>
      </w:r>
    </w:p>
    <w:p>
      <w:pPr>
        <w:pStyle w:val="ListParagraph"/>
        <w:keepLines/>
        <w:numPr>
          <w:ilvl w:val="0"/>
          <w:numId w:val="4"/>
        </w:numPr>
        <w:spacing w:after="60" w:line="276"/>
        <w:ind w:left="720" w:hanging="360"/>
      </w:pPr>
      <w:r>
        <w:rPr>
          <w:sz w:val="22"/>
          <w:szCs w:val="22"/>
        </w:rPr>
        <w:t xml:space="preserve">The board concedes at least one point in writing and says what it will change.</w:t>
      </w:r>
    </w:p>
    <w:p>
      <w:pPr>
        <w:spacing w:after="40" w:before="0" w:line="120" w:lineRule="exact"/>
      </w:pPr>
    </w:p>
    <w:p>
      <w:pPr>
        <w:spacing w:after="120" w:line="276"/>
      </w:pPr>
      <w:r>
        <w:rPr>
          <w:b/>
          <w:bCs/>
          <w:sz w:val="22"/>
          <w:szCs w:val="22"/>
        </w:rPr>
        <w:t xml:space="preserve">Final deliverable.</w:t>
      </w:r>
      <w:r>
        <w:rPr>
          <w:sz w:val="22"/>
          <w:szCs w:val="22"/>
        </w:rPr>
        <w:t xml:space="preserve"> A formal document titled Response to Public Comments, addressed to the fictional Thrapton Water Board and written for the meeting packet, plus a one-page memo naming the objection your team judged strongest and defending that judgment.</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read and restate.</w:t>
      </w:r>
      <w:r>
        <w:rPr>
          <w:sz w:val="22"/>
          <w:szCs w:val="22"/>
        </w:rPr>
        <w:t xml:space="preserve"> Each student writes a one-sentence restatement of each of the eight comments. A partner reads each one and marks it accepted or rejected, answering a single question: would the commenter sign this sentence? Output: eight restatements, each marked by a partner, with rejected ones rewritten.</w:t>
      </w:r>
    </w:p>
    <w:p>
      <w:pPr>
        <w:pStyle w:val="ListParagraph"/>
        <w:keepLines/>
        <w:numPr>
          <w:ilvl w:val="0"/>
          <w:numId w:val="5"/>
        </w:numPr>
        <w:spacing w:after="60" w:line="276"/>
        <w:ind w:left="720" w:hanging="360"/>
      </w:pPr>
      <w:r>
        <w:rPr>
          <w:b/>
          <w:bCs/>
          <w:sz w:val="22"/>
          <w:szCs w:val="22"/>
        </w:rPr>
        <w:t xml:space="preserve">Session 2, sort and name.</w:t>
      </w:r>
      <w:r>
        <w:rPr>
          <w:sz w:val="22"/>
          <w:szCs w:val="22"/>
        </w:rPr>
        <w:t xml:space="preserve"> Teams group the eight comments on chart paper and write a name for each group. A group needs at least two comments and a one-sentence rule that explains what puts a comment in it. Output: a labeled chart with all eight comments placed and a rule under each name.</w:t>
      </w:r>
    </w:p>
    <w:p>
      <w:pPr>
        <w:pStyle w:val="ListParagraph"/>
        <w:keepLines/>
        <w:numPr>
          <w:ilvl w:val="0"/>
          <w:numId w:val="5"/>
        </w:numPr>
        <w:spacing w:after="60" w:line="276"/>
        <w:ind w:left="720" w:hanging="360"/>
      </w:pPr>
      <w:r>
        <w:rPr>
          <w:b/>
          <w:bCs/>
          <w:sz w:val="22"/>
          <w:szCs w:val="22"/>
        </w:rPr>
        <w:t xml:space="preserve">Session 3, rank the objections.</w:t>
      </w:r>
      <w:r>
        <w:rPr>
          <w:sz w:val="22"/>
          <w:szCs w:val="22"/>
        </w:rPr>
        <w:t xml:space="preserve"> Teams rank the objections using three stated tests: how many households the objection affects, whether it points to a fact the board could check, and whether the board could fix it by changing the proposal. Output: a ranked list of objections with a written paragraph defending the top choice.</w:t>
      </w:r>
    </w:p>
    <w:p>
      <w:pPr>
        <w:pStyle w:val="ListParagraph"/>
        <w:keepLines/>
        <w:numPr>
          <w:ilvl w:val="0"/>
          <w:numId w:val="5"/>
        </w:numPr>
        <w:spacing w:after="60" w:line="276"/>
        <w:ind w:left="720" w:hanging="360"/>
      </w:pPr>
      <w:r>
        <w:rPr>
          <w:b/>
          <w:bCs/>
          <w:sz w:val="22"/>
          <w:szCs w:val="22"/>
        </w:rPr>
        <w:t xml:space="preserve">Session 4, draft the response.</w:t>
      </w:r>
      <w:r>
        <w:rPr>
          <w:sz w:val="22"/>
          <w:szCs w:val="22"/>
        </w:rPr>
        <w:t xml:space="preserve"> Teams write the full document. Restatements come first in each section, then the board's answer. Quotations are marked in the margin so a reviewer can find them. Output: a complete draft inside the word range with quotations marked.</w:t>
      </w:r>
    </w:p>
    <w:p>
      <w:pPr>
        <w:pStyle w:val="ListParagraph"/>
        <w:keepLines/>
        <w:numPr>
          <w:ilvl w:val="0"/>
          <w:numId w:val="5"/>
        </w:numPr>
        <w:spacing w:after="60" w:line="276"/>
        <w:ind w:left="720" w:hanging="360"/>
      </w:pPr>
      <w:r>
        <w:rPr>
          <w:b/>
          <w:bCs/>
          <w:sz w:val="22"/>
          <w:szCs w:val="22"/>
        </w:rPr>
        <w:t xml:space="preserve">Session 5, revise and read aloud.</w:t>
      </w:r>
      <w:r>
        <w:rPr>
          <w:sz w:val="22"/>
          <w:szCs w:val="22"/>
        </w:rPr>
        <w:t xml:space="preserve"> Partners score the draft against the rubric and mark every restatement they would reject. Teams revise, then read the concession paragraph aloud while the class sits as the board. Output: the final response document and the one-page memo.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Answering the Thrapton Drought Surcharge Comments</w:t>
      </w:r>
    </w:p>
    <w:p>
      <w:pPr>
        <w:keepNext/>
        <w:spacing w:after="160"/>
      </w:pPr>
      <w:r>
        <w:rPr>
          <w:color w:val="5B6B70"/>
          <w:sz w:val="20"/>
          <w:szCs w:val="20"/>
        </w:rPr>
        <w:t xml:space="preserve">Project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54"/>
        <w:gridCol w:w="3016"/>
        <w:gridCol w:w="3453"/>
        <w:gridCol w:w="3453"/>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Accuracy of restatement</w:t>
            </w:r>
          </w:p>
        </w:tc>
        <w:tc>
          <w:tcPr>
            <w:tcW w:type="dxa" w:w="2354"/>
            <w:tcMar>
              <w:top w:type="dxa" w:w="70"/>
              <w:left w:type="dxa" w:w="100"/>
              <w:bottom w:type="dxa" w:w="70"/>
              <w:right w:type="dxa" w:w="100"/>
            </w:tcMar>
            <w:vAlign w:val="top"/>
          </w:tcPr>
          <w:p>
            <w:pPr>
              <w:keepNext/>
              <w:spacing w:after="0" w:line="252"/>
              <w:jc w:val="left"/>
            </w:pPr>
            <w:r>
              <w:rPr>
                <w:sz w:val="20"/>
                <w:szCs w:val="20"/>
              </w:rPr>
              <w:t xml:space="preserve">Several restatements change what the commenter said</w:t>
            </w:r>
          </w:p>
        </w:tc>
        <w:tc>
          <w:tcPr>
            <w:tcW w:type="dxa" w:w="3016"/>
            <w:tcMar>
              <w:top w:type="dxa" w:w="70"/>
              <w:left w:type="dxa" w:w="100"/>
              <w:bottom w:type="dxa" w:w="70"/>
              <w:right w:type="dxa" w:w="100"/>
            </w:tcMar>
            <w:vAlign w:val="top"/>
          </w:tcPr>
          <w:p>
            <w:pPr>
              <w:keepNext/>
              <w:spacing w:after="0" w:line="252"/>
              <w:jc w:val="left"/>
            </w:pPr>
            <w:r>
              <w:rPr>
                <w:sz w:val="20"/>
                <w:szCs w:val="20"/>
              </w:rPr>
              <w:t xml:space="preserve">Restatements are close but soften or sharpen at least one objection</w:t>
            </w:r>
          </w:p>
        </w:tc>
        <w:tc>
          <w:tcPr>
            <w:tcW w:type="dxa" w:w="3453"/>
            <w:tcMar>
              <w:top w:type="dxa" w:w="70"/>
              <w:left w:type="dxa" w:w="100"/>
              <w:bottom w:type="dxa" w:w="70"/>
              <w:right w:type="dxa" w:w="100"/>
            </w:tcMar>
            <w:vAlign w:val="top"/>
          </w:tcPr>
          <w:p>
            <w:pPr>
              <w:keepNext/>
              <w:spacing w:after="0" w:line="252"/>
              <w:jc w:val="left"/>
            </w:pPr>
            <w:r>
              <w:rPr>
                <w:sz w:val="20"/>
                <w:szCs w:val="20"/>
              </w:rPr>
              <w:t xml:space="preserve">All eight restatements are accurate, within the word limit, and would be accepted by their writers</w:t>
            </w:r>
          </w:p>
        </w:tc>
        <w:tc>
          <w:tcPr>
            <w:tcW w:type="dxa" w:w="3453"/>
            <w:tcMar>
              <w:top w:type="dxa" w:w="70"/>
              <w:left w:type="dxa" w:w="100"/>
              <w:bottom w:type="dxa" w:w="70"/>
              <w:right w:type="dxa" w:w="100"/>
            </w:tcMar>
            <w:vAlign w:val="top"/>
          </w:tcPr>
          <w:p>
            <w:pPr>
              <w:keepNext/>
              <w:spacing w:after="0" w:line="252"/>
              <w:jc w:val="left"/>
            </w:pPr>
            <w:r>
              <w:rPr>
                <w:sz w:val="20"/>
                <w:szCs w:val="20"/>
              </w:rPr>
              <w:t xml:space="preserve">Restatements are accurate and also name the value behind each objection, such as fairness or ability to respond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Handling the strongest objection</w:t>
            </w:r>
          </w:p>
        </w:tc>
        <w:tc>
          <w:tcPr>
            <w:tcW w:type="dxa" w:w="2354"/>
            <w:tcMar>
              <w:top w:type="dxa" w:w="70"/>
              <w:left w:type="dxa" w:w="100"/>
              <w:bottom w:type="dxa" w:w="70"/>
              <w:right w:type="dxa" w:w="100"/>
            </w:tcMar>
            <w:vAlign w:val="top"/>
          </w:tcPr>
          <w:p>
            <w:pPr>
              <w:keepNext/>
              <w:spacing w:after="0" w:line="252"/>
              <w:jc w:val="left"/>
            </w:pPr>
            <w:r>
              <w:rPr>
                <w:sz w:val="20"/>
                <w:szCs w:val="20"/>
              </w:rPr>
              <w:t xml:space="preserve">The strongest objection is not identified or not answered</w:t>
            </w:r>
          </w:p>
        </w:tc>
        <w:tc>
          <w:tcPr>
            <w:tcW w:type="dxa" w:w="3016"/>
            <w:tcMar>
              <w:top w:type="dxa" w:w="70"/>
              <w:left w:type="dxa" w:w="100"/>
              <w:bottom w:type="dxa" w:w="70"/>
              <w:right w:type="dxa" w:w="100"/>
            </w:tcMar>
            <w:vAlign w:val="top"/>
          </w:tcPr>
          <w:p>
            <w:pPr>
              <w:keepNext/>
              <w:spacing w:after="0" w:line="252"/>
              <w:jc w:val="left"/>
            </w:pPr>
            <w:r>
              <w:rPr>
                <w:sz w:val="20"/>
                <w:szCs w:val="20"/>
              </w:rPr>
              <w:t xml:space="preserve">The objection is answered, yet the reply skips the concession or the reason</w:t>
            </w:r>
          </w:p>
        </w:tc>
        <w:tc>
          <w:tcPr>
            <w:tcW w:type="dxa" w:w="3453"/>
            <w:tcMar>
              <w:top w:type="dxa" w:w="70"/>
              <w:left w:type="dxa" w:w="100"/>
              <w:bottom w:type="dxa" w:w="70"/>
              <w:right w:type="dxa" w:w="100"/>
            </w:tcMar>
            <w:vAlign w:val="top"/>
          </w:tcPr>
          <w:p>
            <w:pPr>
              <w:keepNext/>
              <w:spacing w:after="0" w:line="252"/>
              <w:jc w:val="left"/>
            </w:pPr>
            <w:r>
              <w:rPr>
                <w:sz w:val="20"/>
                <w:szCs w:val="20"/>
              </w:rPr>
              <w:t xml:space="preserve">The reply concedes a specific point, gives a reason, and cites evidence from the board's record</w:t>
            </w:r>
          </w:p>
        </w:tc>
        <w:tc>
          <w:tcPr>
            <w:tcW w:type="dxa" w:w="3453"/>
            <w:tcMar>
              <w:top w:type="dxa" w:w="70"/>
              <w:left w:type="dxa" w:w="100"/>
              <w:bottom w:type="dxa" w:w="70"/>
              <w:right w:type="dxa" w:w="100"/>
            </w:tcMar>
            <w:vAlign w:val="top"/>
          </w:tcPr>
          <w:p>
            <w:pPr>
              <w:keepNext/>
              <w:spacing w:after="0" w:line="252"/>
              <w:jc w:val="left"/>
            </w:pPr>
            <w:r>
              <w:rPr>
                <w:sz w:val="20"/>
                <w:szCs w:val="20"/>
              </w:rPr>
              <w:t xml:space="preserve">The reply concedes, reasons, cites evidence, and states plainly which part of the objection it cannot answer</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Quotation and attribution</w:t>
            </w:r>
          </w:p>
        </w:tc>
        <w:tc>
          <w:tcPr>
            <w:tcW w:type="dxa" w:w="2354"/>
            <w:tcMar>
              <w:top w:type="dxa" w:w="70"/>
              <w:left w:type="dxa" w:w="100"/>
              <w:bottom w:type="dxa" w:w="70"/>
              <w:right w:type="dxa" w:w="100"/>
            </w:tcMar>
            <w:vAlign w:val="top"/>
          </w:tcPr>
          <w:p>
            <w:pPr>
              <w:keepNext/>
              <w:spacing w:after="0" w:line="252"/>
              <w:jc w:val="left"/>
            </w:pPr>
            <w:r>
              <w:rPr>
                <w:sz w:val="20"/>
                <w:szCs w:val="20"/>
              </w:rPr>
              <w:t xml:space="preserve">Quotations are missing, or run long and unattributed</w:t>
            </w:r>
          </w:p>
        </w:tc>
        <w:tc>
          <w:tcPr>
            <w:tcW w:type="dxa" w:w="3016"/>
            <w:tcMar>
              <w:top w:type="dxa" w:w="70"/>
              <w:left w:type="dxa" w:w="100"/>
              <w:bottom w:type="dxa" w:w="70"/>
              <w:right w:type="dxa" w:w="100"/>
            </w:tcMar>
            <w:vAlign w:val="top"/>
          </w:tcPr>
          <w:p>
            <w:pPr>
              <w:keepNext/>
              <w:spacing w:after="0" w:line="252"/>
              <w:jc w:val="left"/>
            </w:pPr>
            <w:r>
              <w:rPr>
                <w:sz w:val="20"/>
                <w:szCs w:val="20"/>
              </w:rPr>
              <w:t xml:space="preserve">Two quotations appear, yet punctuation or attribution is inconsistent</w:t>
            </w:r>
          </w:p>
        </w:tc>
        <w:tc>
          <w:tcPr>
            <w:tcW w:type="dxa" w:w="3453"/>
            <w:tcMar>
              <w:top w:type="dxa" w:w="70"/>
              <w:left w:type="dxa" w:w="100"/>
              <w:bottom w:type="dxa" w:w="70"/>
              <w:right w:type="dxa" w:w="100"/>
            </w:tcMar>
            <w:vAlign w:val="top"/>
          </w:tcPr>
          <w:p>
            <w:pPr>
              <w:keepNext/>
              <w:spacing w:after="0" w:line="252"/>
              <w:jc w:val="left"/>
            </w:pPr>
            <w:r>
              <w:rPr>
                <w:sz w:val="20"/>
                <w:szCs w:val="20"/>
              </w:rPr>
              <w:t xml:space="preserve">Two or more quotations run under the word limit and are punctuated and attributed correctly</w:t>
            </w:r>
          </w:p>
        </w:tc>
        <w:tc>
          <w:tcPr>
            <w:tcW w:type="dxa" w:w="3453"/>
            <w:tcMar>
              <w:top w:type="dxa" w:w="70"/>
              <w:left w:type="dxa" w:w="100"/>
              <w:bottom w:type="dxa" w:w="70"/>
              <w:right w:type="dxa" w:w="100"/>
            </w:tcMar>
            <w:vAlign w:val="top"/>
          </w:tcPr>
          <w:p>
            <w:pPr>
              <w:keepNext/>
              <w:spacing w:after="0" w:line="252"/>
              <w:jc w:val="left"/>
            </w:pPr>
            <w:r>
              <w:rPr>
                <w:sz w:val="20"/>
                <w:szCs w:val="20"/>
              </w:rPr>
              <w:t xml:space="preserve">Quotations are chosen for the exact wording that carries the objection, and the surrounding sentence explains why that wording matters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Structure and register</w:t>
            </w:r>
          </w:p>
        </w:tc>
        <w:tc>
          <w:tcPr>
            <w:tcW w:type="dxa" w:w="2354"/>
            <w:tcMar>
              <w:top w:type="dxa" w:w="70"/>
              <w:left w:type="dxa" w:w="100"/>
              <w:bottom w:type="dxa" w:w="70"/>
              <w:right w:type="dxa" w:w="100"/>
            </w:tcMar>
            <w:vAlign w:val="top"/>
          </w:tcPr>
          <w:p>
            <w:pPr>
              <w:spacing w:after="0" w:line="252"/>
              <w:jc w:val="left"/>
            </w:pPr>
            <w:r>
              <w:rPr>
                <w:sz w:val="20"/>
                <w:szCs w:val="20"/>
              </w:rPr>
              <w:t xml:space="preserve">Document is disorganized or written in a casual voice</w:t>
            </w:r>
          </w:p>
        </w:tc>
        <w:tc>
          <w:tcPr>
            <w:tcW w:type="dxa" w:w="3016"/>
            <w:tcMar>
              <w:top w:type="dxa" w:w="70"/>
              <w:left w:type="dxa" w:w="100"/>
              <w:bottom w:type="dxa" w:w="70"/>
              <w:right w:type="dxa" w:w="100"/>
            </w:tcMar>
            <w:vAlign w:val="top"/>
          </w:tcPr>
          <w:p>
            <w:pPr>
              <w:spacing w:after="0" w:line="252"/>
              <w:jc w:val="left"/>
            </w:pPr>
            <w:r>
              <w:rPr>
                <w:sz w:val="20"/>
                <w:szCs w:val="20"/>
              </w:rPr>
              <w:t xml:space="preserve">Categories exist, yet the order wanders or the register slips</w:t>
            </w:r>
          </w:p>
        </w:tc>
        <w:tc>
          <w:tcPr>
            <w:tcW w:type="dxa" w:w="3453"/>
            <w:tcMar>
              <w:top w:type="dxa" w:w="70"/>
              <w:left w:type="dxa" w:w="100"/>
              <w:bottom w:type="dxa" w:w="70"/>
              <w:right w:type="dxa" w:w="100"/>
            </w:tcMar>
            <w:vAlign w:val="top"/>
          </w:tcPr>
          <w:p>
            <w:pPr>
              <w:spacing w:after="0" w:line="252"/>
              <w:jc w:val="left"/>
            </w:pPr>
            <w:r>
              <w:rPr>
                <w:sz w:val="20"/>
                <w:szCs w:val="20"/>
              </w:rPr>
              <w:t xml:space="preserve">All eight comments are addressed in named categories, the register stays formal, and the word range is met</w:t>
            </w:r>
          </w:p>
        </w:tc>
        <w:tc>
          <w:tcPr>
            <w:tcW w:type="dxa" w:w="3453"/>
            <w:tcMar>
              <w:top w:type="dxa" w:w="70"/>
              <w:left w:type="dxa" w:w="100"/>
              <w:bottom w:type="dxa" w:w="70"/>
              <w:right w:type="dxa" w:w="100"/>
            </w:tcMar>
            <w:vAlign w:val="top"/>
          </w:tcPr>
          <w:p>
            <w:pPr>
              <w:spacing w:after="0" w:line="252"/>
              <w:jc w:val="left"/>
            </w:pPr>
            <w:r>
              <w:rPr>
                <w:sz w:val="20"/>
                <w:szCs w:val="20"/>
              </w:rPr>
              <w:t xml:space="preserve">Organization is deliberate, transitions carry the reader between categories, and the closing states exactly what will and will not change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Answering the Thrapton Drought Surcharge Comments</dc:title>
  <dc:subject>Project · Grade 9 · English Language Arts</dc:subject>
  <dc:creator>Water for Schools</dc:creator>
  <cp:keywords>Project, Grade 9, English Language Arts</cp:keywords>
  <dc:description>A five-session grade 9 ELA project in which students restate eight fictional public comments on a drought surcharge and draft the water board's formal written reply.</dc:description>
  <cp:lastModifiedBy>Water for Schools</cp:lastModifiedBy>
  <cp:revision>1</cp:revision>
  <dcterms:created xsi:type="dcterms:W3CDTF">2026-10-19T16:29:01.361Z</dcterms:created>
  <dcterms:modified xsi:type="dcterms:W3CDTF">2026-10-19T16:29:01.361Z</dcterms:modified>
</cp:coreProperties>
</file>

<file path=docProps/custom.xml><?xml version="1.0" encoding="utf-8"?>
<Properties xmlns="http://schemas.openxmlformats.org/officeDocument/2006/custom-properties" xmlns:vt="http://schemas.openxmlformats.org/officeDocument/2006/docPropsVTypes"/>
</file>