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Quarryfen Wellfield Protection Zones: A Land-Use Organizer</w:t>
      </w:r>
    </w:p>
    <w:p>
      <w:pPr>
        <w:keepNext/>
        <w:spacing w:after="160"/>
      </w:pPr>
      <w:r>
        <w:rPr>
          <w:color w:val="5B6B70"/>
          <w:sz w:val="20"/>
          <w:szCs w:val="20"/>
        </w:rPr>
        <w:t xml:space="preserve">Graphic organizer · Grade 10 · Engineering &amp; Design</w:t>
      </w:r>
    </w:p>
    <w:p>
      <w:pPr>
        <w:spacing w:after="100" w:line="264"/>
      </w:pPr>
      <w:r>
        <w:rPr>
          <w:i/>
          <w:iCs/>
          <w:color w:val="12333F"/>
          <w:sz w:val="22"/>
          <w:szCs w:val="22"/>
        </w:rPr>
        <w:t xml:space="preserve">A grade 10 organizer mapping four wellhead protection zones around a fictional public well, matching the threats in each zone to controls and to who enforces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organizer,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wellhead protection zones drawn by fixed distance from zones drawn by groundwater travel time.</w:t>
      </w:r>
    </w:p>
    <w:p>
      <w:pPr>
        <w:pStyle w:val="ListParagraph"/>
        <w:keepNext/>
        <w:keepLines/>
        <w:numPr>
          <w:ilvl w:val="0"/>
          <w:numId w:val="2"/>
        </w:numPr>
        <w:spacing w:after="60" w:line="264"/>
        <w:ind w:left="720" w:hanging="360"/>
      </w:pPr>
      <w:r>
        <w:rPr>
          <w:sz w:val="22"/>
          <w:szCs w:val="22"/>
        </w:rPr>
        <w:t xml:space="preserve">Students will match a land use in each zone to a control and to the agency that can enforce it.</w:t>
      </w:r>
    </w:p>
    <w:p>
      <w:pPr>
        <w:pStyle w:val="ListParagraph"/>
        <w:keepLines/>
        <w:numPr>
          <w:ilvl w:val="0"/>
          <w:numId w:val="2"/>
        </w:numPr>
        <w:spacing w:after="60" w:line="264"/>
        <w:ind w:left="720" w:hanging="360"/>
      </w:pPr>
      <w:r>
        <w:rPr>
          <w:sz w:val="22"/>
          <w:szCs w:val="22"/>
        </w:rPr>
        <w:t xml:space="preserve">Students will assign specific sites to the correct protection zone using travel time rather than distance alone.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match land uses that threaten an aquifer with the controls that reduce that impact, zone by zone around a public well.</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choose one control to apply first at each site, judging it against how much of the threat it removes and whether an agency can enforce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wellhead protection, time of travel, contribution area, setback, secondary containment, zoning overlay</w:t>
      </w:r>
    </w:p>
    <w:p>
      <w:pPr>
        <w:pStyle w:val="Heading2"/>
        <w:keepNext/>
        <w:keepLines/>
      </w:pPr>
      <w:r>
        <w:rPr>
          <w:sz w:val="28"/>
          <w:szCs w:val="28"/>
        </w:rPr>
        <w:t xml:space="preserve">Teacher overview</w:t>
      </w:r>
    </w:p>
    <w:p>
      <w:pPr>
        <w:spacing w:after="100" w:line="264"/>
      </w:pPr>
      <w:r>
        <w:rPr>
          <w:sz w:val="22"/>
          <w:szCs w:val="22"/>
        </w:rPr>
        <w:t xml:space="preserve">Protecting a public well is a land-use problem before it is a treatment problem, because a contaminant that reaches the aquifer is far more expensive to remove than to keep out. This organizer is a concentric-zone frame: four nested rings around a fictional wellfield, each defined by how long groundwater takes to reach the well, with a threat column, a control column, and an enforcement column running across them. The nesting matters because it shows why controls tighten as travel time shortens, since a spill two years out gives a utility time to respond while a spill inside the sanitary setback does not. A misconception worth naming first is that the zones are simple circles measured in feet; only the innermost ring is a fixed radius, and the others follow the direction groundwater actually moves, which usually makes them long and narrow rather than round.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zone column and the boundary column already filled in, so their work begins with threats and controls. Provide a word bank of controls, including fencing, sewer extension, secondary containment, well decommissioning, covered salt storage, and zoning overlay, and let them match rather than generate. For the site triage, supply the zone assignments and ask only for the first control.</w:t>
      </w:r>
    </w:p>
    <w:p>
      <w:pPr>
        <w:pStyle w:val="Heading3"/>
        <w:keepNext/>
        <w:keepLines/>
      </w:pPr>
      <w:r>
        <w:rPr>
          <w:sz w:val="24"/>
          <w:szCs w:val="24"/>
        </w:rPr>
        <w:t xml:space="preserve">Extension</w:t>
      </w:r>
    </w:p>
    <w:p>
      <w:pPr>
        <w:spacing w:after="100" w:line="264"/>
      </w:pPr>
      <w:r>
        <w:rPr>
          <w:sz w:val="22"/>
          <w:szCs w:val="22"/>
        </w:rPr>
        <w:t xml:space="preserve">Ask these students to explain why the uncapped farm well at 900 feet may deserve faster action than the diesel tank at 1,400 feet, even though the tank holds a larger volume of a more obvious contaminant. Have them also redraw the zone boundaries for a case in which the utility doubles its pumping rate, and state which sites would change zones.</w:t>
      </w:r>
    </w:p>
    <w:p>
      <w:pPr>
        <w:pStyle w:val="Heading3"/>
        <w:keepNext/>
        <w:keepLines/>
      </w:pPr>
      <w:r>
        <w:rPr>
          <w:sz w:val="24"/>
          <w:szCs w:val="24"/>
        </w:rPr>
        <w:t xml:space="preserve">ELL supports</w:t>
      </w:r>
    </w:p>
    <w:p>
      <w:pPr>
        <w:spacing w:after="100" w:line="264"/>
      </w:pPr>
      <w:r>
        <w:rPr>
          <w:sz w:val="22"/>
          <w:szCs w:val="22"/>
        </w:rPr>
        <w:t xml:space="preserve">Provide a plan-view sketch showing the well, an arrow for the direction groundwater moves, and the four zones drawn as stretched shapes rather than circles, with each zone labeled. Post a term strip pairing travel time with how long water takes to reach the well, setback with required distance, containment with a wall that holds a spill, and overlay with an extra zoning rule.</w:t>
      </w:r>
    </w:p>
    <w:p>
      <w:pPr>
        <w:pStyle w:val="Heading2"/>
        <w:keepNext/>
        <w:keepLines/>
      </w:pPr>
      <w:r>
        <w:rPr>
          <w:sz w:val="28"/>
          <w:szCs w:val="28"/>
        </w:rPr>
        <w:t xml:space="preserve">Extensions</w:t>
      </w:r>
    </w:p>
    <w:p>
      <w:pPr>
        <w:spacing w:after="100" w:line="264"/>
      </w:pPr>
      <w:r>
        <w:rPr>
          <w:sz w:val="22"/>
          <w:szCs w:val="22"/>
        </w:rPr>
        <w:t xml:space="preserve">Have students find whether their own state publishes wellhead or source water protection area maps and locate the nearest mapped area, then list which of the four zone types the state uses. Students can also interview a local planning official about how a proposed business near a public well is reviewed, and add a column to the organizer recording what evidence that review requires an applicant to submit.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Quarryfen Wellfield Protection Zones: A Land-Use Organizer</w:t>
      </w:r>
    </w:p>
    <w:p>
      <w:pPr>
        <w:keepNext/>
        <w:spacing w:after="160"/>
      </w:pPr>
      <w:r>
        <w:rPr>
          <w:color w:val="5B6B70"/>
          <w:sz w:val="20"/>
          <w:szCs w:val="20"/>
        </w:rPr>
        <w:t xml:space="preserve">Grade 10 · Engineering &amp; Design</w:t>
      </w:r>
    </w:p>
    <w:p>
      <w:pPr>
        <w:pStyle w:val="Heading2"/>
        <w:keepNext/>
        <w:keepLines/>
      </w:pPr>
      <w:r>
        <w:rPr>
          <w:sz w:val="28"/>
          <w:szCs w:val="28"/>
        </w:rPr>
        <w:t xml:space="preserve">Organizer</w:t>
      </w:r>
    </w:p>
    <w:p>
      <w:pPr>
        <w:spacing w:after="120" w:line="276"/>
      </w:pPr>
      <w:r>
        <w:rPr>
          <w:sz w:val="22"/>
          <w:szCs w:val="22"/>
        </w:rPr>
        <w:t xml:space="preserve">Complete every cell in both tables. The zone definitions and the site list are given below.</w:t>
      </w:r>
    </w:p>
    <w:p>
      <w:pPr>
        <w:spacing w:after="120" w:line="276"/>
      </w:pPr>
      <w:r>
        <w:rPr>
          <w:b/>
          <w:bCs/>
          <w:sz w:val="22"/>
          <w:szCs w:val="22"/>
        </w:rPr>
        <w:t xml:space="preserve">Case notes.</w:t>
      </w:r>
      <w:r>
        <w:rPr>
          <w:sz w:val="22"/>
          <w:szCs w:val="22"/>
        </w:rPr>
        <w:t xml:space="preserve"> Quarryfen is a fictional town whose public supply comes from a single well in a sand and gravel aquifer. The county defines four protection zones. Zone 1 is a fixed radius of 200 feet around the wellhead. Zone 2 covers everything within a 200-day groundwater travel time. Zone 3 covers everything within a 5-year travel time. Zone 4 is the remainder of the area that contributes water to the well. Groundwater moves toward the well from the northwest, so the zones stretch in that direction rather than forming circles.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84"/>
        <w:gridCol w:w="2475"/>
        <w:gridCol w:w="2997"/>
        <w:gridCol w:w="2925"/>
        <w:gridCol w:w="1933"/>
        <w:gridCol w:w="2466"/>
      </w:tblGrid>
      <w:tr>
        <w:trPr>
          <w:cantSplit/>
          <w:tblHeader/>
        </w:trPr>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Zone</w:t>
            </w:r>
          </w:p>
        </w:tc>
        <w:tc>
          <w:tcPr>
            <w:tcW w:type="dxa" w:w="24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the boundary is drawn</w:t>
            </w:r>
          </w:p>
        </w:tc>
        <w:tc>
          <w:tcPr>
            <w:tcW w:type="dxa" w:w="29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Land uses and threats commonly found here</w:t>
            </w:r>
          </w:p>
        </w:tc>
        <w:tc>
          <w:tcPr>
            <w:tcW w:type="dxa" w:w="29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Controls the utility or county can apply</w:t>
            </w:r>
          </w:p>
        </w:tc>
        <w:tc>
          <w:tcPr>
            <w:tcW w:type="dxa" w:w="1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enforces the control</w:t>
            </w:r>
          </w:p>
        </w:tc>
        <w:tc>
          <w:tcPr>
            <w:tcW w:type="dxa" w:w="24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to monitor</w:t>
            </w:r>
          </w:p>
        </w:tc>
      </w:tr>
      <w:tr>
        <w:trPr>
          <w:cantSplit/>
          <w:trHeight w:val="1440" w:hRule="atLeast"/>
        </w:trPr>
        <w:tc>
          <w:tcPr>
            <w:tcW w:type="dxa" w:w="884"/>
            <w:tcMar>
              <w:top w:type="dxa" w:w="70"/>
              <w:left w:type="dxa" w:w="100"/>
              <w:bottom w:type="dxa" w:w="70"/>
              <w:right w:type="dxa" w:w="100"/>
            </w:tcMar>
            <w:vAlign w:val="top"/>
          </w:tcPr>
          <w:p>
            <w:pPr>
              <w:keepNext/>
              <w:spacing w:after="0" w:line="252"/>
              <w:jc w:val="left"/>
            </w:pPr>
            <w:r>
              <w:rPr>
                <w:sz w:val="20"/>
                <w:szCs w:val="20"/>
              </w:rPr>
              <w:t xml:space="preserve">Zone 1</w:t>
            </w:r>
          </w:p>
        </w:tc>
        <w:tc>
          <w:tcPr>
            <w:tcW w:type="dxa" w:w="2475"/>
            <w:tcMar>
              <w:top w:type="dxa" w:w="70"/>
              <w:left w:type="dxa" w:w="100"/>
              <w:bottom w:type="dxa" w:w="70"/>
              <w:right w:type="dxa" w:w="100"/>
            </w:tcMar>
            <w:vAlign w:val="top"/>
          </w:tcPr>
          <w:p>
            <w:pPr>
              <w:keepNext/>
              <w:spacing w:after="0" w:line="252"/>
              <w:jc w:val="left"/>
            </w:pPr>
          </w:p>
        </w:tc>
        <w:tc>
          <w:tcPr>
            <w:tcW w:type="dxa" w:w="2997"/>
            <w:tcMar>
              <w:top w:type="dxa" w:w="70"/>
              <w:left w:type="dxa" w:w="100"/>
              <w:bottom w:type="dxa" w:w="70"/>
              <w:right w:type="dxa" w:w="100"/>
            </w:tcMar>
            <w:vAlign w:val="top"/>
          </w:tcPr>
          <w:p>
            <w:pPr>
              <w:keepNext/>
              <w:spacing w:after="0" w:line="252"/>
              <w:jc w:val="left"/>
            </w:pPr>
          </w:p>
        </w:tc>
        <w:tc>
          <w:tcPr>
            <w:tcW w:type="dxa" w:w="2925"/>
            <w:tcMar>
              <w:top w:type="dxa" w:w="70"/>
              <w:left w:type="dxa" w:w="100"/>
              <w:bottom w:type="dxa" w:w="70"/>
              <w:right w:type="dxa" w:w="100"/>
            </w:tcMar>
            <w:vAlign w:val="top"/>
          </w:tcPr>
          <w:p>
            <w:pPr>
              <w:keepNext/>
              <w:spacing w:after="0" w:line="252"/>
              <w:jc w:val="left"/>
            </w:pPr>
          </w:p>
        </w:tc>
        <w:tc>
          <w:tcPr>
            <w:tcW w:type="dxa" w:w="1933"/>
            <w:tcMar>
              <w:top w:type="dxa" w:w="70"/>
              <w:left w:type="dxa" w:w="100"/>
              <w:bottom w:type="dxa" w:w="70"/>
              <w:right w:type="dxa" w:w="100"/>
            </w:tcMar>
            <w:vAlign w:val="top"/>
          </w:tcPr>
          <w:p>
            <w:pPr>
              <w:keepNext/>
              <w:spacing w:after="0" w:line="252"/>
              <w:jc w:val="left"/>
            </w:pPr>
          </w:p>
        </w:tc>
        <w:tc>
          <w:tcPr>
            <w:tcW w:type="dxa" w:w="246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84"/>
            <w:tcMar>
              <w:top w:type="dxa" w:w="70"/>
              <w:left w:type="dxa" w:w="100"/>
              <w:bottom w:type="dxa" w:w="70"/>
              <w:right w:type="dxa" w:w="100"/>
            </w:tcMar>
            <w:vAlign w:val="top"/>
          </w:tcPr>
          <w:p>
            <w:pPr>
              <w:keepNext/>
              <w:spacing w:after="0" w:line="252"/>
              <w:jc w:val="left"/>
            </w:pPr>
            <w:r>
              <w:rPr>
                <w:sz w:val="20"/>
                <w:szCs w:val="20"/>
              </w:rPr>
              <w:t xml:space="preserve">Zone 2</w:t>
            </w:r>
          </w:p>
        </w:tc>
        <w:tc>
          <w:tcPr>
            <w:tcW w:type="dxa" w:w="2475"/>
            <w:tcMar>
              <w:top w:type="dxa" w:w="70"/>
              <w:left w:type="dxa" w:w="100"/>
              <w:bottom w:type="dxa" w:w="70"/>
              <w:right w:type="dxa" w:w="100"/>
            </w:tcMar>
            <w:vAlign w:val="top"/>
          </w:tcPr>
          <w:p>
            <w:pPr>
              <w:keepNext/>
              <w:spacing w:after="0" w:line="252"/>
              <w:jc w:val="left"/>
            </w:pPr>
          </w:p>
        </w:tc>
        <w:tc>
          <w:tcPr>
            <w:tcW w:type="dxa" w:w="2997"/>
            <w:tcMar>
              <w:top w:type="dxa" w:w="70"/>
              <w:left w:type="dxa" w:w="100"/>
              <w:bottom w:type="dxa" w:w="70"/>
              <w:right w:type="dxa" w:w="100"/>
            </w:tcMar>
            <w:vAlign w:val="top"/>
          </w:tcPr>
          <w:p>
            <w:pPr>
              <w:keepNext/>
              <w:spacing w:after="0" w:line="252"/>
              <w:jc w:val="left"/>
            </w:pPr>
          </w:p>
        </w:tc>
        <w:tc>
          <w:tcPr>
            <w:tcW w:type="dxa" w:w="2925"/>
            <w:tcMar>
              <w:top w:type="dxa" w:w="70"/>
              <w:left w:type="dxa" w:w="100"/>
              <w:bottom w:type="dxa" w:w="70"/>
              <w:right w:type="dxa" w:w="100"/>
            </w:tcMar>
            <w:vAlign w:val="top"/>
          </w:tcPr>
          <w:p>
            <w:pPr>
              <w:keepNext/>
              <w:spacing w:after="0" w:line="252"/>
              <w:jc w:val="left"/>
            </w:pPr>
          </w:p>
        </w:tc>
        <w:tc>
          <w:tcPr>
            <w:tcW w:type="dxa" w:w="1933"/>
            <w:tcMar>
              <w:top w:type="dxa" w:w="70"/>
              <w:left w:type="dxa" w:w="100"/>
              <w:bottom w:type="dxa" w:w="70"/>
              <w:right w:type="dxa" w:w="100"/>
            </w:tcMar>
            <w:vAlign w:val="top"/>
          </w:tcPr>
          <w:p>
            <w:pPr>
              <w:keepNext/>
              <w:spacing w:after="0" w:line="252"/>
              <w:jc w:val="left"/>
            </w:pPr>
          </w:p>
        </w:tc>
        <w:tc>
          <w:tcPr>
            <w:tcW w:type="dxa" w:w="246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84"/>
            <w:tcMar>
              <w:top w:type="dxa" w:w="70"/>
              <w:left w:type="dxa" w:w="100"/>
              <w:bottom w:type="dxa" w:w="70"/>
              <w:right w:type="dxa" w:w="100"/>
            </w:tcMar>
            <w:vAlign w:val="top"/>
          </w:tcPr>
          <w:p>
            <w:pPr>
              <w:keepNext/>
              <w:spacing w:after="0" w:line="252"/>
              <w:jc w:val="left"/>
            </w:pPr>
            <w:r>
              <w:rPr>
                <w:sz w:val="20"/>
                <w:szCs w:val="20"/>
              </w:rPr>
              <w:t xml:space="preserve">Zone 3</w:t>
            </w:r>
          </w:p>
        </w:tc>
        <w:tc>
          <w:tcPr>
            <w:tcW w:type="dxa" w:w="2475"/>
            <w:tcMar>
              <w:top w:type="dxa" w:w="70"/>
              <w:left w:type="dxa" w:w="100"/>
              <w:bottom w:type="dxa" w:w="70"/>
              <w:right w:type="dxa" w:w="100"/>
            </w:tcMar>
            <w:vAlign w:val="top"/>
          </w:tcPr>
          <w:p>
            <w:pPr>
              <w:keepNext/>
              <w:spacing w:after="0" w:line="252"/>
              <w:jc w:val="left"/>
            </w:pPr>
          </w:p>
        </w:tc>
        <w:tc>
          <w:tcPr>
            <w:tcW w:type="dxa" w:w="2997"/>
            <w:tcMar>
              <w:top w:type="dxa" w:w="70"/>
              <w:left w:type="dxa" w:w="100"/>
              <w:bottom w:type="dxa" w:w="70"/>
              <w:right w:type="dxa" w:w="100"/>
            </w:tcMar>
            <w:vAlign w:val="top"/>
          </w:tcPr>
          <w:p>
            <w:pPr>
              <w:keepNext/>
              <w:spacing w:after="0" w:line="252"/>
              <w:jc w:val="left"/>
            </w:pPr>
          </w:p>
        </w:tc>
        <w:tc>
          <w:tcPr>
            <w:tcW w:type="dxa" w:w="2925"/>
            <w:tcMar>
              <w:top w:type="dxa" w:w="70"/>
              <w:left w:type="dxa" w:w="100"/>
              <w:bottom w:type="dxa" w:w="70"/>
              <w:right w:type="dxa" w:w="100"/>
            </w:tcMar>
            <w:vAlign w:val="top"/>
          </w:tcPr>
          <w:p>
            <w:pPr>
              <w:keepNext/>
              <w:spacing w:after="0" w:line="252"/>
              <w:jc w:val="left"/>
            </w:pPr>
          </w:p>
        </w:tc>
        <w:tc>
          <w:tcPr>
            <w:tcW w:type="dxa" w:w="1933"/>
            <w:tcMar>
              <w:top w:type="dxa" w:w="70"/>
              <w:left w:type="dxa" w:w="100"/>
              <w:bottom w:type="dxa" w:w="70"/>
              <w:right w:type="dxa" w:w="100"/>
            </w:tcMar>
            <w:vAlign w:val="top"/>
          </w:tcPr>
          <w:p>
            <w:pPr>
              <w:keepNext/>
              <w:spacing w:after="0" w:line="252"/>
              <w:jc w:val="left"/>
            </w:pPr>
          </w:p>
        </w:tc>
        <w:tc>
          <w:tcPr>
            <w:tcW w:type="dxa" w:w="246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84"/>
            <w:tcMar>
              <w:top w:type="dxa" w:w="70"/>
              <w:left w:type="dxa" w:w="100"/>
              <w:bottom w:type="dxa" w:w="70"/>
              <w:right w:type="dxa" w:w="100"/>
            </w:tcMar>
            <w:vAlign w:val="top"/>
          </w:tcPr>
          <w:p>
            <w:pPr>
              <w:spacing w:after="0" w:line="252"/>
              <w:jc w:val="left"/>
            </w:pPr>
            <w:r>
              <w:rPr>
                <w:sz w:val="20"/>
                <w:szCs w:val="20"/>
              </w:rPr>
              <w:t xml:space="preserve">Zone 4</w:t>
            </w:r>
          </w:p>
        </w:tc>
        <w:tc>
          <w:tcPr>
            <w:tcW w:type="dxa" w:w="2475"/>
            <w:tcMar>
              <w:top w:type="dxa" w:w="70"/>
              <w:left w:type="dxa" w:w="100"/>
              <w:bottom w:type="dxa" w:w="70"/>
              <w:right w:type="dxa" w:w="100"/>
            </w:tcMar>
            <w:vAlign w:val="top"/>
          </w:tcPr>
          <w:p>
            <w:pPr>
              <w:spacing w:after="0" w:line="252"/>
              <w:jc w:val="left"/>
            </w:pPr>
          </w:p>
        </w:tc>
        <w:tc>
          <w:tcPr>
            <w:tcW w:type="dxa" w:w="2997"/>
            <w:tcMar>
              <w:top w:type="dxa" w:w="70"/>
              <w:left w:type="dxa" w:w="100"/>
              <w:bottom w:type="dxa" w:w="70"/>
              <w:right w:type="dxa" w:w="100"/>
            </w:tcMar>
            <w:vAlign w:val="top"/>
          </w:tcPr>
          <w:p>
            <w:pPr>
              <w:spacing w:after="0" w:line="252"/>
              <w:jc w:val="left"/>
            </w:pPr>
          </w:p>
        </w:tc>
        <w:tc>
          <w:tcPr>
            <w:tcW w:type="dxa" w:w="2925"/>
            <w:tcMar>
              <w:top w:type="dxa" w:w="70"/>
              <w:left w:type="dxa" w:w="100"/>
              <w:bottom w:type="dxa" w:w="70"/>
              <w:right w:type="dxa" w:w="100"/>
            </w:tcMar>
            <w:vAlign w:val="top"/>
          </w:tcPr>
          <w:p>
            <w:pPr>
              <w:spacing w:after="0" w:line="252"/>
              <w:jc w:val="left"/>
            </w:pPr>
          </w:p>
        </w:tc>
        <w:tc>
          <w:tcPr>
            <w:tcW w:type="dxa" w:w="1933"/>
            <w:tcMar>
              <w:top w:type="dxa" w:w="70"/>
              <w:left w:type="dxa" w:w="100"/>
              <w:bottom w:type="dxa" w:w="70"/>
              <w:right w:type="dxa" w:w="100"/>
            </w:tcMar>
            <w:vAlign w:val="top"/>
          </w:tcPr>
          <w:p>
            <w:pPr>
              <w:spacing w:after="0" w:line="252"/>
              <w:jc w:val="left"/>
            </w:pPr>
          </w:p>
        </w:tc>
        <w:tc>
          <w:tcPr>
            <w:tcW w:type="dxa" w:w="2466"/>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Site triage.</w:t>
      </w:r>
      <w:r>
        <w:rPr>
          <w:sz w:val="22"/>
          <w:szCs w:val="22"/>
        </w:rPr>
        <w:t xml:space="preserve"> Assign each site to a zone, then name the single control you would apply first.</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36"/>
        <w:gridCol w:w="1300"/>
        <w:gridCol w:w="1493"/>
        <w:gridCol w:w="3827"/>
        <w:gridCol w:w="3924"/>
      </w:tblGrid>
      <w:tr>
        <w:trPr>
          <w:cantSplit/>
          <w:tblHeader/>
        </w:trPr>
        <w:tc>
          <w:tcPr>
            <w:tcW w:type="dxa" w:w="31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 in Quarryfen</w:t>
            </w:r>
          </w:p>
        </w:tc>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Distance from the well</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Travel time</w:t>
            </w:r>
          </w:p>
        </w:tc>
        <w:tc>
          <w:tcPr>
            <w:tcW w:type="dxa" w:w="38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Zone</w:t>
            </w:r>
          </w:p>
        </w:tc>
        <w:tc>
          <w:tcPr>
            <w:tcW w:type="dxa" w:w="3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First control</w:t>
            </w:r>
          </w:p>
        </w:tc>
      </w:tr>
      <w:tr>
        <w:trPr>
          <w:cantSplit/>
          <w:trHeight w:val="1440" w:hRule="atLeast"/>
        </w:trPr>
        <w:tc>
          <w:tcPr>
            <w:tcW w:type="dxa" w:w="3136"/>
            <w:tcMar>
              <w:top w:type="dxa" w:w="70"/>
              <w:left w:type="dxa" w:w="100"/>
              <w:bottom w:type="dxa" w:w="70"/>
              <w:right w:type="dxa" w:w="100"/>
            </w:tcMar>
            <w:vAlign w:val="top"/>
          </w:tcPr>
          <w:p>
            <w:pPr>
              <w:spacing w:after="0" w:line="252"/>
              <w:jc w:val="left"/>
            </w:pPr>
            <w:r>
              <w:rPr>
                <w:sz w:val="20"/>
                <w:szCs w:val="20"/>
              </w:rPr>
              <w:t xml:space="preserve">Gravel drive and parking beside the wellhouse</w:t>
            </w:r>
          </w:p>
        </w:tc>
        <w:tc>
          <w:tcPr>
            <w:tcW w:type="dxa" w:w="1300"/>
            <w:tcMar>
              <w:top w:type="dxa" w:w="70"/>
              <w:left w:type="dxa" w:w="100"/>
              <w:bottom w:type="dxa" w:w="70"/>
              <w:right w:type="dxa" w:w="100"/>
            </w:tcMar>
            <w:vAlign w:val="top"/>
          </w:tcPr>
          <w:p>
            <w:pPr>
              <w:spacing w:after="0" w:line="252"/>
              <w:jc w:val="left"/>
            </w:pPr>
            <w:r>
              <w:rPr>
                <w:sz w:val="20"/>
                <w:szCs w:val="20"/>
              </w:rPr>
              <w:t xml:space="preserve">80 feet</w:t>
            </w:r>
          </w:p>
        </w:tc>
        <w:tc>
          <w:tcPr>
            <w:tcW w:type="dxa" w:w="1493"/>
            <w:tcMar>
              <w:top w:type="dxa" w:w="70"/>
              <w:left w:type="dxa" w:w="100"/>
              <w:bottom w:type="dxa" w:w="70"/>
              <w:right w:type="dxa" w:w="100"/>
            </w:tcMar>
            <w:vAlign w:val="top"/>
          </w:tcPr>
          <w:p>
            <w:pPr>
              <w:spacing w:after="0" w:line="252"/>
              <w:jc w:val="left"/>
            </w:pPr>
            <w:r>
              <w:rPr>
                <w:sz w:val="20"/>
                <w:szCs w:val="20"/>
              </w:rPr>
              <w:t xml:space="preserve">days</w:t>
            </w:r>
          </w:p>
        </w:tc>
        <w:tc>
          <w:tcPr>
            <w:tcW w:type="dxa" w:w="3827"/>
            <w:tcMar>
              <w:top w:type="dxa" w:w="70"/>
              <w:left w:type="dxa" w:w="100"/>
              <w:bottom w:type="dxa" w:w="70"/>
              <w:right w:type="dxa" w:w="100"/>
            </w:tcMar>
            <w:vAlign w:val="top"/>
          </w:tcPr>
          <w:p>
            <w:pPr>
              <w:spacing w:after="0" w:line="252"/>
              <w:jc w:val="left"/>
            </w:pPr>
          </w:p>
        </w:tc>
        <w:tc>
          <w:tcPr>
            <w:tcW w:type="dxa" w:w="3924"/>
            <w:tcMar>
              <w:top w:type="dxa" w:w="70"/>
              <w:left w:type="dxa" w:w="100"/>
              <w:bottom w:type="dxa" w:w="70"/>
              <w:right w:type="dxa" w:w="100"/>
            </w:tcMar>
            <w:vAlign w:val="top"/>
          </w:tcPr>
          <w:p>
            <w:pPr>
              <w:spacing w:after="0" w:line="252"/>
              <w:jc w:val="left"/>
            </w:pPr>
          </w:p>
        </w:tc>
      </w:tr>
      <w:tr>
        <w:trPr>
          <w:cantSplit/>
          <w:trHeight w:val="1440" w:hRule="atLeast"/>
        </w:trPr>
        <w:tc>
          <w:tcPr>
            <w:tcW w:type="dxa" w:w="3136"/>
            <w:tcMar>
              <w:top w:type="dxa" w:w="70"/>
              <w:left w:type="dxa" w:w="100"/>
              <w:bottom w:type="dxa" w:w="70"/>
              <w:right w:type="dxa" w:w="100"/>
            </w:tcMar>
            <w:vAlign w:val="top"/>
          </w:tcPr>
          <w:p>
            <w:pPr>
              <w:spacing w:after="0" w:line="252"/>
              <w:jc w:val="left"/>
            </w:pPr>
            <w:r>
              <w:rPr>
                <w:sz w:val="20"/>
                <w:szCs w:val="20"/>
              </w:rPr>
              <w:t xml:space="preserve">Eleven homes on individual septic systems</w:t>
            </w:r>
          </w:p>
        </w:tc>
        <w:tc>
          <w:tcPr>
            <w:tcW w:type="dxa" w:w="1300"/>
            <w:tcMar>
              <w:top w:type="dxa" w:w="70"/>
              <w:left w:type="dxa" w:w="100"/>
              <w:bottom w:type="dxa" w:w="70"/>
              <w:right w:type="dxa" w:w="100"/>
            </w:tcMar>
            <w:vAlign w:val="top"/>
          </w:tcPr>
          <w:p>
            <w:pPr>
              <w:spacing w:after="0" w:line="252"/>
              <w:jc w:val="left"/>
            </w:pPr>
            <w:r>
              <w:rPr>
                <w:sz w:val="20"/>
                <w:szCs w:val="20"/>
              </w:rPr>
              <w:t xml:space="preserve">600 feet</w:t>
            </w:r>
          </w:p>
        </w:tc>
        <w:tc>
          <w:tcPr>
            <w:tcW w:type="dxa" w:w="1493"/>
            <w:tcMar>
              <w:top w:type="dxa" w:w="70"/>
              <w:left w:type="dxa" w:w="100"/>
              <w:bottom w:type="dxa" w:w="70"/>
              <w:right w:type="dxa" w:w="100"/>
            </w:tcMar>
            <w:vAlign w:val="top"/>
          </w:tcPr>
          <w:p>
            <w:pPr>
              <w:spacing w:after="0" w:line="252"/>
              <w:jc w:val="left"/>
            </w:pPr>
            <w:r>
              <w:rPr>
                <w:sz w:val="20"/>
                <w:szCs w:val="20"/>
              </w:rPr>
              <w:t xml:space="preserve">150 days</w:t>
            </w:r>
          </w:p>
        </w:tc>
        <w:tc>
          <w:tcPr>
            <w:tcW w:type="dxa" w:w="3827"/>
            <w:tcMar>
              <w:top w:type="dxa" w:w="70"/>
              <w:left w:type="dxa" w:w="100"/>
              <w:bottom w:type="dxa" w:w="70"/>
              <w:right w:type="dxa" w:w="100"/>
            </w:tcMar>
            <w:vAlign w:val="top"/>
          </w:tcPr>
          <w:p>
            <w:pPr>
              <w:spacing w:after="0" w:line="252"/>
              <w:jc w:val="left"/>
            </w:pPr>
          </w:p>
        </w:tc>
        <w:tc>
          <w:tcPr>
            <w:tcW w:type="dxa" w:w="3924"/>
            <w:tcMar>
              <w:top w:type="dxa" w:w="70"/>
              <w:left w:type="dxa" w:w="100"/>
              <w:bottom w:type="dxa" w:w="70"/>
              <w:right w:type="dxa" w:w="100"/>
            </w:tcMar>
            <w:vAlign w:val="top"/>
          </w:tcPr>
          <w:p>
            <w:pPr>
              <w:spacing w:after="0" w:line="252"/>
              <w:jc w:val="left"/>
            </w:pPr>
          </w:p>
        </w:tc>
      </w:tr>
      <w:tr>
        <w:trPr>
          <w:cantSplit/>
          <w:trHeight w:val="1440" w:hRule="atLeast"/>
        </w:trPr>
        <w:tc>
          <w:tcPr>
            <w:tcW w:type="dxa" w:w="3136"/>
            <w:tcMar>
              <w:top w:type="dxa" w:w="70"/>
              <w:left w:type="dxa" w:w="100"/>
              <w:bottom w:type="dxa" w:w="70"/>
              <w:right w:type="dxa" w:w="100"/>
            </w:tcMar>
            <w:vAlign w:val="top"/>
          </w:tcPr>
          <w:p>
            <w:pPr>
              <w:spacing w:after="0" w:line="252"/>
              <w:jc w:val="left"/>
            </w:pPr>
            <w:r>
              <w:rPr>
                <w:sz w:val="20"/>
                <w:szCs w:val="20"/>
              </w:rPr>
              <w:t xml:space="preserve">An unused farm well, uncapped</w:t>
            </w:r>
          </w:p>
        </w:tc>
        <w:tc>
          <w:tcPr>
            <w:tcW w:type="dxa" w:w="1300"/>
            <w:tcMar>
              <w:top w:type="dxa" w:w="70"/>
              <w:left w:type="dxa" w:w="100"/>
              <w:bottom w:type="dxa" w:w="70"/>
              <w:right w:type="dxa" w:w="100"/>
            </w:tcMar>
            <w:vAlign w:val="top"/>
          </w:tcPr>
          <w:p>
            <w:pPr>
              <w:spacing w:after="0" w:line="252"/>
              <w:jc w:val="left"/>
            </w:pPr>
            <w:r>
              <w:rPr>
                <w:sz w:val="20"/>
                <w:szCs w:val="20"/>
              </w:rPr>
              <w:t xml:space="preserve">900 feet</w:t>
            </w:r>
          </w:p>
        </w:tc>
        <w:tc>
          <w:tcPr>
            <w:tcW w:type="dxa" w:w="1493"/>
            <w:tcMar>
              <w:top w:type="dxa" w:w="70"/>
              <w:left w:type="dxa" w:w="100"/>
              <w:bottom w:type="dxa" w:w="70"/>
              <w:right w:type="dxa" w:w="100"/>
            </w:tcMar>
            <w:vAlign w:val="top"/>
          </w:tcPr>
          <w:p>
            <w:pPr>
              <w:spacing w:after="0" w:line="252"/>
              <w:jc w:val="left"/>
            </w:pPr>
            <w:r>
              <w:rPr>
                <w:sz w:val="20"/>
                <w:szCs w:val="20"/>
              </w:rPr>
              <w:t xml:space="preserve">220 days</w:t>
            </w:r>
          </w:p>
        </w:tc>
        <w:tc>
          <w:tcPr>
            <w:tcW w:type="dxa" w:w="3827"/>
            <w:tcMar>
              <w:top w:type="dxa" w:w="70"/>
              <w:left w:type="dxa" w:w="100"/>
              <w:bottom w:type="dxa" w:w="70"/>
              <w:right w:type="dxa" w:w="100"/>
            </w:tcMar>
            <w:vAlign w:val="top"/>
          </w:tcPr>
          <w:p>
            <w:pPr>
              <w:spacing w:after="0" w:line="252"/>
              <w:jc w:val="left"/>
            </w:pPr>
          </w:p>
        </w:tc>
        <w:tc>
          <w:tcPr>
            <w:tcW w:type="dxa" w:w="3924"/>
            <w:tcMar>
              <w:top w:type="dxa" w:w="70"/>
              <w:left w:type="dxa" w:w="100"/>
              <w:bottom w:type="dxa" w:w="70"/>
              <w:right w:type="dxa" w:w="100"/>
            </w:tcMar>
            <w:vAlign w:val="top"/>
          </w:tcPr>
          <w:p>
            <w:pPr>
              <w:spacing w:after="0" w:line="252"/>
              <w:jc w:val="left"/>
            </w:pPr>
          </w:p>
        </w:tc>
      </w:tr>
      <w:tr>
        <w:trPr>
          <w:cantSplit/>
          <w:trHeight w:val="1440" w:hRule="atLeast"/>
        </w:trPr>
        <w:tc>
          <w:tcPr>
            <w:tcW w:type="dxa" w:w="3136"/>
            <w:tcMar>
              <w:top w:type="dxa" w:w="70"/>
              <w:left w:type="dxa" w:w="100"/>
              <w:bottom w:type="dxa" w:w="70"/>
              <w:right w:type="dxa" w:w="100"/>
            </w:tcMar>
            <w:vAlign w:val="top"/>
          </w:tcPr>
          <w:p>
            <w:pPr>
              <w:spacing w:after="0" w:line="252"/>
              <w:jc w:val="left"/>
            </w:pPr>
            <w:r>
              <w:rPr>
                <w:sz w:val="20"/>
                <w:szCs w:val="20"/>
              </w:rPr>
              <w:t xml:space="preserve">A school bus garage with an above-ground diesel tank</w:t>
            </w:r>
          </w:p>
        </w:tc>
        <w:tc>
          <w:tcPr>
            <w:tcW w:type="dxa" w:w="1300"/>
            <w:tcMar>
              <w:top w:type="dxa" w:w="70"/>
              <w:left w:type="dxa" w:w="100"/>
              <w:bottom w:type="dxa" w:w="70"/>
              <w:right w:type="dxa" w:w="100"/>
            </w:tcMar>
            <w:vAlign w:val="top"/>
          </w:tcPr>
          <w:p>
            <w:pPr>
              <w:spacing w:after="0" w:line="252"/>
              <w:jc w:val="left"/>
            </w:pPr>
            <w:r>
              <w:rPr>
                <w:sz w:val="20"/>
                <w:szCs w:val="20"/>
              </w:rPr>
              <w:t xml:space="preserve">1,400 feet</w:t>
            </w:r>
          </w:p>
        </w:tc>
        <w:tc>
          <w:tcPr>
            <w:tcW w:type="dxa" w:w="1493"/>
            <w:tcMar>
              <w:top w:type="dxa" w:w="70"/>
              <w:left w:type="dxa" w:w="100"/>
              <w:bottom w:type="dxa" w:w="70"/>
              <w:right w:type="dxa" w:w="100"/>
            </w:tcMar>
            <w:vAlign w:val="top"/>
          </w:tcPr>
          <w:p>
            <w:pPr>
              <w:spacing w:after="0" w:line="252"/>
              <w:jc w:val="left"/>
            </w:pPr>
            <w:r>
              <w:rPr>
                <w:sz w:val="20"/>
                <w:szCs w:val="20"/>
              </w:rPr>
              <w:t xml:space="preserve">3 years</w:t>
            </w:r>
          </w:p>
        </w:tc>
        <w:tc>
          <w:tcPr>
            <w:tcW w:type="dxa" w:w="3827"/>
            <w:tcMar>
              <w:top w:type="dxa" w:w="70"/>
              <w:left w:type="dxa" w:w="100"/>
              <w:bottom w:type="dxa" w:w="70"/>
              <w:right w:type="dxa" w:w="100"/>
            </w:tcMar>
            <w:vAlign w:val="top"/>
          </w:tcPr>
          <w:p>
            <w:pPr>
              <w:spacing w:after="0" w:line="252"/>
              <w:jc w:val="left"/>
            </w:pPr>
          </w:p>
        </w:tc>
        <w:tc>
          <w:tcPr>
            <w:tcW w:type="dxa" w:w="3924"/>
            <w:tcMar>
              <w:top w:type="dxa" w:w="70"/>
              <w:left w:type="dxa" w:w="100"/>
              <w:bottom w:type="dxa" w:w="70"/>
              <w:right w:type="dxa" w:w="100"/>
            </w:tcMar>
            <w:vAlign w:val="top"/>
          </w:tcPr>
          <w:p>
            <w:pPr>
              <w:spacing w:after="0" w:line="252"/>
              <w:jc w:val="left"/>
            </w:pPr>
          </w:p>
        </w:tc>
      </w:tr>
      <w:tr>
        <w:trPr>
          <w:cantSplit/>
          <w:trHeight w:val="1440" w:hRule="atLeast"/>
        </w:trPr>
        <w:tc>
          <w:tcPr>
            <w:tcW w:type="dxa" w:w="3136"/>
            <w:tcMar>
              <w:top w:type="dxa" w:w="70"/>
              <w:left w:type="dxa" w:w="100"/>
              <w:bottom w:type="dxa" w:w="70"/>
              <w:right w:type="dxa" w:w="100"/>
            </w:tcMar>
            <w:vAlign w:val="top"/>
          </w:tcPr>
          <w:p>
            <w:pPr>
              <w:spacing w:after="0" w:line="252"/>
              <w:jc w:val="left"/>
            </w:pPr>
            <w:r>
              <w:rPr>
                <w:sz w:val="20"/>
                <w:szCs w:val="20"/>
              </w:rPr>
              <w:t xml:space="preserve">A county road salt pile under an open shed</w:t>
            </w:r>
          </w:p>
        </w:tc>
        <w:tc>
          <w:tcPr>
            <w:tcW w:type="dxa" w:w="1300"/>
            <w:tcMar>
              <w:top w:type="dxa" w:w="70"/>
              <w:left w:type="dxa" w:w="100"/>
              <w:bottom w:type="dxa" w:w="70"/>
              <w:right w:type="dxa" w:w="100"/>
            </w:tcMar>
            <w:vAlign w:val="top"/>
          </w:tcPr>
          <w:p>
            <w:pPr>
              <w:spacing w:after="0" w:line="252"/>
              <w:jc w:val="left"/>
            </w:pPr>
            <w:r>
              <w:rPr>
                <w:sz w:val="20"/>
                <w:szCs w:val="20"/>
              </w:rPr>
              <w:t xml:space="preserve">2,600 feet</w:t>
            </w:r>
          </w:p>
        </w:tc>
        <w:tc>
          <w:tcPr>
            <w:tcW w:type="dxa" w:w="1493"/>
            <w:tcMar>
              <w:top w:type="dxa" w:w="70"/>
              <w:left w:type="dxa" w:w="100"/>
              <w:bottom w:type="dxa" w:w="70"/>
              <w:right w:type="dxa" w:w="100"/>
            </w:tcMar>
            <w:vAlign w:val="top"/>
          </w:tcPr>
          <w:p>
            <w:pPr>
              <w:spacing w:after="0" w:line="252"/>
              <w:jc w:val="left"/>
            </w:pPr>
            <w:r>
              <w:rPr>
                <w:sz w:val="20"/>
                <w:szCs w:val="20"/>
              </w:rPr>
              <w:t xml:space="preserve">6 years</w:t>
            </w:r>
          </w:p>
        </w:tc>
        <w:tc>
          <w:tcPr>
            <w:tcW w:type="dxa" w:w="3827"/>
            <w:tcMar>
              <w:top w:type="dxa" w:w="70"/>
              <w:left w:type="dxa" w:w="100"/>
              <w:bottom w:type="dxa" w:w="70"/>
              <w:right w:type="dxa" w:w="100"/>
            </w:tcMar>
            <w:vAlign w:val="top"/>
          </w:tcPr>
          <w:p>
            <w:pPr>
              <w:spacing w:after="0" w:line="252"/>
              <w:jc w:val="left"/>
            </w:pPr>
          </w:p>
        </w:tc>
        <w:tc>
          <w:tcPr>
            <w:tcW w:type="dxa" w:w="392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Quarryfen Wellfield Protection Zones: A Land-Use Organizer</w:t>
      </w:r>
    </w:p>
    <w:p>
      <w:pPr>
        <w:keepNext/>
        <w:spacing w:after="160"/>
      </w:pPr>
      <w:r>
        <w:rPr>
          <w:color w:val="5B6B70"/>
          <w:sz w:val="20"/>
          <w:szCs w:val="20"/>
        </w:rPr>
        <w:t xml:space="preserve">Graphic organizer · Grade 10 · Engineering &amp; Design</w:t>
      </w:r>
    </w:p>
    <w:p>
      <w:pPr>
        <w:keepNext/>
        <w:keepLines/>
        <w:spacing w:after="100" w:line="264"/>
      </w:pPr>
      <w:r>
        <w:rPr>
          <w:b/>
          <w:bCs/>
          <w:sz w:val="22"/>
          <w:szCs w:val="22"/>
        </w:rPr>
        <w:t xml:space="preserve">Case notes.</w:t>
      </w:r>
      <w:r>
        <w:rPr>
          <w:sz w:val="22"/>
          <w:szCs w:val="22"/>
        </w:rPr>
        <w:t xml:space="preserve"> Quarryfen is a fictional town with one public supply well, four county protection zones, and groundwater arriving from the northwest.</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84"/>
        <w:gridCol w:w="2501"/>
        <w:gridCol w:w="2561"/>
        <w:gridCol w:w="2600"/>
        <w:gridCol w:w="2535"/>
        <w:gridCol w:w="2599"/>
      </w:tblGrid>
      <w:tr>
        <w:trPr>
          <w:cantSplit/>
          <w:tblHeader/>
        </w:trPr>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Zone</w:t>
            </w:r>
          </w:p>
        </w:tc>
        <w:tc>
          <w:tcPr>
            <w:tcW w:type="dxa" w:w="25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the boundary is drawn</w:t>
            </w:r>
          </w:p>
        </w:tc>
        <w:tc>
          <w:tcPr>
            <w:tcW w:type="dxa" w:w="25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Land uses and threats commonly found here</w:t>
            </w:r>
          </w:p>
        </w:tc>
        <w:tc>
          <w:tcPr>
            <w:tcW w:type="dxa" w:w="26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Controls the utility or county can apply</w:t>
            </w:r>
          </w:p>
        </w:tc>
        <w:tc>
          <w:tcPr>
            <w:tcW w:type="dxa" w:w="25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enforces the control</w:t>
            </w:r>
          </w:p>
        </w:tc>
        <w:tc>
          <w:tcPr>
            <w:tcW w:type="dxa" w:w="25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to monitor</w:t>
            </w:r>
          </w:p>
        </w:tc>
      </w:tr>
      <w:tr>
        <w:trPr>
          <w:cantSplit/>
        </w:trPr>
        <w:tc>
          <w:tcPr>
            <w:tcW w:type="dxa" w:w="884"/>
            <w:tcMar>
              <w:top w:type="dxa" w:w="70"/>
              <w:left w:type="dxa" w:w="100"/>
              <w:bottom w:type="dxa" w:w="70"/>
              <w:right w:type="dxa" w:w="100"/>
            </w:tcMar>
            <w:vAlign w:val="top"/>
          </w:tcPr>
          <w:p>
            <w:pPr>
              <w:spacing w:after="0" w:line="252"/>
              <w:jc w:val="left"/>
            </w:pPr>
            <w:r>
              <w:rPr>
                <w:sz w:val="20"/>
                <w:szCs w:val="20"/>
              </w:rPr>
              <w:t xml:space="preserve">Zone 1</w:t>
            </w:r>
          </w:p>
        </w:tc>
        <w:tc>
          <w:tcPr>
            <w:tcW w:type="dxa" w:w="2501"/>
            <w:tcMar>
              <w:top w:type="dxa" w:w="70"/>
              <w:left w:type="dxa" w:w="100"/>
              <w:bottom w:type="dxa" w:w="70"/>
              <w:right w:type="dxa" w:w="100"/>
            </w:tcMar>
            <w:vAlign w:val="top"/>
          </w:tcPr>
          <w:p>
            <w:pPr>
              <w:spacing w:after="0" w:line="252"/>
              <w:jc w:val="left"/>
            </w:pPr>
            <w:r>
              <w:rPr>
                <w:sz w:val="20"/>
                <w:szCs w:val="20"/>
              </w:rPr>
              <w:t xml:space="preserve">A fixed 200-foot radius around the wellhead, not based on travel time</w:t>
            </w:r>
          </w:p>
        </w:tc>
        <w:tc>
          <w:tcPr>
            <w:tcW w:type="dxa" w:w="2561"/>
            <w:tcMar>
              <w:top w:type="dxa" w:w="70"/>
              <w:left w:type="dxa" w:w="100"/>
              <w:bottom w:type="dxa" w:w="70"/>
              <w:right w:type="dxa" w:w="100"/>
            </w:tcMar>
            <w:vAlign w:val="top"/>
          </w:tcPr>
          <w:p>
            <w:pPr>
              <w:spacing w:after="0" w:line="252"/>
              <w:jc w:val="left"/>
            </w:pPr>
            <w:r>
              <w:rPr>
                <w:sz w:val="20"/>
                <w:szCs w:val="20"/>
              </w:rPr>
              <w:t xml:space="preserve">The wellhouse itself, vehicle parking, mowing chemicals, floor drains, and surface water ponding against the casing</w:t>
            </w:r>
          </w:p>
        </w:tc>
        <w:tc>
          <w:tcPr>
            <w:tcW w:type="dxa" w:w="2600"/>
            <w:tcMar>
              <w:top w:type="dxa" w:w="70"/>
              <w:left w:type="dxa" w:w="100"/>
              <w:bottom w:type="dxa" w:w="70"/>
              <w:right w:type="dxa" w:w="100"/>
            </w:tcMar>
            <w:vAlign w:val="top"/>
          </w:tcPr>
          <w:p>
            <w:pPr>
              <w:spacing w:after="0" w:line="252"/>
              <w:jc w:val="left"/>
            </w:pPr>
            <w:r>
              <w:rPr>
                <w:sz w:val="20"/>
                <w:szCs w:val="20"/>
              </w:rPr>
              <w:t xml:space="preserve">Utility ownership of the parcel, fencing, no chemical storage or parking, grading so surface water drains away, and a sealed casing annulus</w:t>
            </w:r>
          </w:p>
        </w:tc>
        <w:tc>
          <w:tcPr>
            <w:tcW w:type="dxa" w:w="2535"/>
            <w:tcMar>
              <w:top w:type="dxa" w:w="70"/>
              <w:left w:type="dxa" w:w="100"/>
              <w:bottom w:type="dxa" w:w="70"/>
              <w:right w:type="dxa" w:w="100"/>
            </w:tcMar>
            <w:vAlign w:val="top"/>
          </w:tcPr>
          <w:p>
            <w:pPr>
              <w:spacing w:after="0" w:line="252"/>
              <w:jc w:val="left"/>
            </w:pPr>
            <w:r>
              <w:rPr>
                <w:sz w:val="20"/>
                <w:szCs w:val="20"/>
              </w:rPr>
              <w:t xml:space="preserve">The utility, with the state drinking water program during sanitary surveys</w:t>
            </w:r>
          </w:p>
        </w:tc>
        <w:tc>
          <w:tcPr>
            <w:tcW w:type="dxa" w:w="2599"/>
            <w:tcMar>
              <w:top w:type="dxa" w:w="70"/>
              <w:left w:type="dxa" w:w="100"/>
              <w:bottom w:type="dxa" w:w="70"/>
              <w:right w:type="dxa" w:w="100"/>
            </w:tcMar>
            <w:vAlign w:val="top"/>
          </w:tcPr>
          <w:p>
            <w:pPr>
              <w:spacing w:after="0" w:line="252"/>
              <w:jc w:val="left"/>
            </w:pPr>
            <w:r>
              <w:rPr>
                <w:sz w:val="20"/>
                <w:szCs w:val="20"/>
              </w:rPr>
              <w:t xml:space="preserve">Casing and seal condition, standing water after storms, and routine bacteriological samples</w:t>
            </w:r>
          </w:p>
        </w:tc>
      </w:tr>
      <w:tr>
        <w:trPr>
          <w:cantSplit/>
        </w:trPr>
        <w:tc>
          <w:tcPr>
            <w:tcW w:type="dxa" w:w="884"/>
            <w:tcMar>
              <w:top w:type="dxa" w:w="70"/>
              <w:left w:type="dxa" w:w="100"/>
              <w:bottom w:type="dxa" w:w="70"/>
              <w:right w:type="dxa" w:w="100"/>
            </w:tcMar>
            <w:vAlign w:val="top"/>
          </w:tcPr>
          <w:p>
            <w:pPr>
              <w:spacing w:after="0" w:line="252"/>
              <w:jc w:val="left"/>
            </w:pPr>
            <w:r>
              <w:rPr>
                <w:sz w:val="20"/>
                <w:szCs w:val="20"/>
              </w:rPr>
              <w:t xml:space="preserve">Zone 2</w:t>
            </w:r>
          </w:p>
        </w:tc>
        <w:tc>
          <w:tcPr>
            <w:tcW w:type="dxa" w:w="2501"/>
            <w:tcMar>
              <w:top w:type="dxa" w:w="70"/>
              <w:left w:type="dxa" w:w="100"/>
              <w:bottom w:type="dxa" w:w="70"/>
              <w:right w:type="dxa" w:w="100"/>
            </w:tcMar>
            <w:vAlign w:val="top"/>
          </w:tcPr>
          <w:p>
            <w:pPr>
              <w:spacing w:after="0" w:line="252"/>
              <w:jc w:val="left"/>
            </w:pPr>
            <w:r>
              <w:rPr>
                <w:sz w:val="20"/>
                <w:szCs w:val="20"/>
              </w:rPr>
              <w:t xml:space="preserve">Everything within a 200-day groundwater travel time, drawn upgradient toward the northwest</w:t>
            </w:r>
          </w:p>
        </w:tc>
        <w:tc>
          <w:tcPr>
            <w:tcW w:type="dxa" w:w="2561"/>
            <w:tcMar>
              <w:top w:type="dxa" w:w="70"/>
              <w:left w:type="dxa" w:w="100"/>
              <w:bottom w:type="dxa" w:w="70"/>
              <w:right w:type="dxa" w:w="100"/>
            </w:tcMar>
            <w:vAlign w:val="top"/>
          </w:tcPr>
          <w:p>
            <w:pPr>
              <w:spacing w:after="0" w:line="252"/>
              <w:jc w:val="left"/>
            </w:pPr>
            <w:r>
              <w:rPr>
                <w:sz w:val="20"/>
                <w:szCs w:val="20"/>
              </w:rPr>
              <w:t xml:space="preserve">Septic systems, sanitary sewer lines, livestock yards, stormwater infiltration basins, and small fuel deliveries</w:t>
            </w:r>
          </w:p>
        </w:tc>
        <w:tc>
          <w:tcPr>
            <w:tcW w:type="dxa" w:w="2600"/>
            <w:tcMar>
              <w:top w:type="dxa" w:w="70"/>
              <w:left w:type="dxa" w:w="100"/>
              <w:bottom w:type="dxa" w:w="70"/>
              <w:right w:type="dxa" w:w="100"/>
            </w:tcMar>
            <w:vAlign w:val="top"/>
          </w:tcPr>
          <w:p>
            <w:pPr>
              <w:spacing w:after="0" w:line="252"/>
              <w:jc w:val="left"/>
            </w:pPr>
            <w:r>
              <w:rPr>
                <w:sz w:val="20"/>
                <w:szCs w:val="20"/>
              </w:rPr>
              <w:t xml:space="preserve">Connecting homes to sewer or limiting septic density, inspecting and lining sewer lines, prohibiting infiltration basins, and setting manure setbacks</w:t>
            </w:r>
          </w:p>
        </w:tc>
        <w:tc>
          <w:tcPr>
            <w:tcW w:type="dxa" w:w="2535"/>
            <w:tcMar>
              <w:top w:type="dxa" w:w="70"/>
              <w:left w:type="dxa" w:w="100"/>
              <w:bottom w:type="dxa" w:w="70"/>
              <w:right w:type="dxa" w:w="100"/>
            </w:tcMar>
            <w:vAlign w:val="top"/>
          </w:tcPr>
          <w:p>
            <w:pPr>
              <w:spacing w:after="0" w:line="252"/>
              <w:jc w:val="left"/>
            </w:pPr>
            <w:r>
              <w:rPr>
                <w:sz w:val="20"/>
                <w:szCs w:val="20"/>
              </w:rPr>
              <w:t xml:space="preserve">The county health department and the local planning board</w:t>
            </w:r>
          </w:p>
        </w:tc>
        <w:tc>
          <w:tcPr>
            <w:tcW w:type="dxa" w:w="2599"/>
            <w:tcMar>
              <w:top w:type="dxa" w:w="70"/>
              <w:left w:type="dxa" w:w="100"/>
              <w:bottom w:type="dxa" w:w="70"/>
              <w:right w:type="dxa" w:w="100"/>
            </w:tcMar>
            <w:vAlign w:val="top"/>
          </w:tcPr>
          <w:p>
            <w:pPr>
              <w:spacing w:after="0" w:line="252"/>
              <w:jc w:val="left"/>
            </w:pPr>
            <w:r>
              <w:rPr>
                <w:sz w:val="20"/>
                <w:szCs w:val="20"/>
              </w:rPr>
              <w:t xml:space="preserve">Bacteriological results, nitrate trend, and sewer inspection records</w:t>
            </w:r>
          </w:p>
        </w:tc>
      </w:tr>
      <w:tr>
        <w:trPr>
          <w:cantSplit/>
        </w:trPr>
        <w:tc>
          <w:tcPr>
            <w:tcW w:type="dxa" w:w="884"/>
            <w:tcMar>
              <w:top w:type="dxa" w:w="70"/>
              <w:left w:type="dxa" w:w="100"/>
              <w:bottom w:type="dxa" w:w="70"/>
              <w:right w:type="dxa" w:w="100"/>
            </w:tcMar>
            <w:vAlign w:val="top"/>
          </w:tcPr>
          <w:p>
            <w:pPr>
              <w:spacing w:after="0" w:line="252"/>
              <w:jc w:val="left"/>
            </w:pPr>
            <w:r>
              <w:rPr>
                <w:sz w:val="20"/>
                <w:szCs w:val="20"/>
              </w:rPr>
              <w:t xml:space="preserve">Zone 3</w:t>
            </w:r>
          </w:p>
        </w:tc>
        <w:tc>
          <w:tcPr>
            <w:tcW w:type="dxa" w:w="2501"/>
            <w:tcMar>
              <w:top w:type="dxa" w:w="70"/>
              <w:left w:type="dxa" w:w="100"/>
              <w:bottom w:type="dxa" w:w="70"/>
              <w:right w:type="dxa" w:w="100"/>
            </w:tcMar>
            <w:vAlign w:val="top"/>
          </w:tcPr>
          <w:p>
            <w:pPr>
              <w:spacing w:after="0" w:line="252"/>
              <w:jc w:val="left"/>
            </w:pPr>
            <w:r>
              <w:rPr>
                <w:sz w:val="20"/>
                <w:szCs w:val="20"/>
              </w:rPr>
              <w:t xml:space="preserve">Everything within a 5-year groundwater travel time</w:t>
            </w:r>
          </w:p>
        </w:tc>
        <w:tc>
          <w:tcPr>
            <w:tcW w:type="dxa" w:w="2561"/>
            <w:tcMar>
              <w:top w:type="dxa" w:w="70"/>
              <w:left w:type="dxa" w:w="100"/>
              <w:bottom w:type="dxa" w:w="70"/>
              <w:right w:type="dxa" w:w="100"/>
            </w:tcMar>
            <w:vAlign w:val="top"/>
          </w:tcPr>
          <w:p>
            <w:pPr>
              <w:spacing w:after="0" w:line="252"/>
              <w:jc w:val="left"/>
            </w:pPr>
            <w:r>
              <w:rPr>
                <w:sz w:val="20"/>
                <w:szCs w:val="20"/>
              </w:rPr>
              <w:t xml:space="preserve">Fuel storage tanks, machine shops, vehicle maintenance, agricultural chemical mixing, and abandoned wells that bypass the confining soil</w:t>
            </w:r>
          </w:p>
        </w:tc>
        <w:tc>
          <w:tcPr>
            <w:tcW w:type="dxa" w:w="2600"/>
            <w:tcMar>
              <w:top w:type="dxa" w:w="70"/>
              <w:left w:type="dxa" w:w="100"/>
              <w:bottom w:type="dxa" w:w="70"/>
              <w:right w:type="dxa" w:w="100"/>
            </w:tcMar>
            <w:vAlign w:val="top"/>
          </w:tcPr>
          <w:p>
            <w:pPr>
              <w:spacing w:after="0" w:line="252"/>
              <w:jc w:val="left"/>
            </w:pPr>
            <w:r>
              <w:rPr>
                <w:sz w:val="20"/>
                <w:szCs w:val="20"/>
              </w:rPr>
              <w:t xml:space="preserve">Secondary containment around tanks, spill response plans, hazardous material permits, and decommissioning of abandoned wells</w:t>
            </w:r>
          </w:p>
        </w:tc>
        <w:tc>
          <w:tcPr>
            <w:tcW w:type="dxa" w:w="2535"/>
            <w:tcMar>
              <w:top w:type="dxa" w:w="70"/>
              <w:left w:type="dxa" w:w="100"/>
              <w:bottom w:type="dxa" w:w="70"/>
              <w:right w:type="dxa" w:w="100"/>
            </w:tcMar>
            <w:vAlign w:val="top"/>
          </w:tcPr>
          <w:p>
            <w:pPr>
              <w:spacing w:after="0" w:line="252"/>
              <w:jc w:val="left"/>
            </w:pPr>
            <w:r>
              <w:rPr>
                <w:sz w:val="20"/>
                <w:szCs w:val="20"/>
              </w:rPr>
              <w:t xml:space="preserve">The fire marshal for tanks, the county health department for wells, and the state for permitted facilities</w:t>
            </w:r>
          </w:p>
        </w:tc>
        <w:tc>
          <w:tcPr>
            <w:tcW w:type="dxa" w:w="2599"/>
            <w:tcMar>
              <w:top w:type="dxa" w:w="70"/>
              <w:left w:type="dxa" w:w="100"/>
              <w:bottom w:type="dxa" w:w="70"/>
              <w:right w:type="dxa" w:w="100"/>
            </w:tcMar>
            <w:vAlign w:val="top"/>
          </w:tcPr>
          <w:p>
            <w:pPr>
              <w:spacing w:after="0" w:line="252"/>
              <w:jc w:val="left"/>
            </w:pPr>
            <w:r>
              <w:rPr>
                <w:sz w:val="20"/>
                <w:szCs w:val="20"/>
              </w:rPr>
              <w:t xml:space="preserve">Volatile organic compound sampling, tank inspection reports, and a current inventory of abandoned wells</w:t>
            </w:r>
          </w:p>
        </w:tc>
      </w:tr>
      <w:tr>
        <w:trPr>
          <w:cantSplit/>
        </w:trPr>
        <w:tc>
          <w:tcPr>
            <w:tcW w:type="dxa" w:w="884"/>
            <w:tcMar>
              <w:top w:type="dxa" w:w="70"/>
              <w:left w:type="dxa" w:w="100"/>
              <w:bottom w:type="dxa" w:w="70"/>
              <w:right w:type="dxa" w:w="100"/>
            </w:tcMar>
            <w:vAlign w:val="top"/>
          </w:tcPr>
          <w:p>
            <w:pPr>
              <w:spacing w:after="0" w:line="252"/>
              <w:jc w:val="left"/>
            </w:pPr>
            <w:r>
              <w:rPr>
                <w:sz w:val="20"/>
                <w:szCs w:val="20"/>
              </w:rPr>
              <w:t xml:space="preserve">Zone 4</w:t>
            </w:r>
          </w:p>
        </w:tc>
        <w:tc>
          <w:tcPr>
            <w:tcW w:type="dxa" w:w="2501"/>
            <w:tcMar>
              <w:top w:type="dxa" w:w="70"/>
              <w:left w:type="dxa" w:w="100"/>
              <w:bottom w:type="dxa" w:w="70"/>
              <w:right w:type="dxa" w:w="100"/>
            </w:tcMar>
            <w:vAlign w:val="top"/>
          </w:tcPr>
          <w:p>
            <w:pPr>
              <w:spacing w:after="0" w:line="252"/>
              <w:jc w:val="left"/>
            </w:pPr>
            <w:r>
              <w:rPr>
                <w:sz w:val="20"/>
                <w:szCs w:val="20"/>
              </w:rPr>
              <w:t xml:space="preserve">The remainder of the area contributing water to the well, beyond the 5-year travel time</w:t>
            </w:r>
          </w:p>
        </w:tc>
        <w:tc>
          <w:tcPr>
            <w:tcW w:type="dxa" w:w="2561"/>
            <w:tcMar>
              <w:top w:type="dxa" w:w="70"/>
              <w:left w:type="dxa" w:w="100"/>
              <w:bottom w:type="dxa" w:w="70"/>
              <w:right w:type="dxa" w:w="100"/>
            </w:tcMar>
            <w:vAlign w:val="top"/>
          </w:tcPr>
          <w:p>
            <w:pPr>
              <w:spacing w:after="0" w:line="252"/>
              <w:jc w:val="left"/>
            </w:pPr>
            <w:r>
              <w:rPr>
                <w:sz w:val="20"/>
                <w:szCs w:val="20"/>
              </w:rPr>
              <w:t xml:space="preserve">Large-scale agriculture, road corridors and winter salting, new residential development, and gravel extraction</w:t>
            </w:r>
          </w:p>
        </w:tc>
        <w:tc>
          <w:tcPr>
            <w:tcW w:type="dxa" w:w="2600"/>
            <w:tcMar>
              <w:top w:type="dxa" w:w="70"/>
              <w:left w:type="dxa" w:w="100"/>
              <w:bottom w:type="dxa" w:w="70"/>
              <w:right w:type="dxa" w:w="100"/>
            </w:tcMar>
            <w:vAlign w:val="top"/>
          </w:tcPr>
          <w:p>
            <w:pPr>
              <w:spacing w:after="0" w:line="252"/>
              <w:jc w:val="left"/>
            </w:pPr>
            <w:r>
              <w:rPr>
                <w:sz w:val="20"/>
                <w:szCs w:val="20"/>
              </w:rPr>
              <w:t xml:space="preserve">A zoning overlay reviewing new uses, agricultural best management practices, covered salt storage, and an emergency response agreement with the county</w:t>
            </w:r>
          </w:p>
        </w:tc>
        <w:tc>
          <w:tcPr>
            <w:tcW w:type="dxa" w:w="2535"/>
            <w:tcMar>
              <w:top w:type="dxa" w:w="70"/>
              <w:left w:type="dxa" w:w="100"/>
              <w:bottom w:type="dxa" w:w="70"/>
              <w:right w:type="dxa" w:w="100"/>
            </w:tcMar>
            <w:vAlign w:val="top"/>
          </w:tcPr>
          <w:p>
            <w:pPr>
              <w:spacing w:after="0" w:line="252"/>
              <w:jc w:val="left"/>
            </w:pPr>
            <w:r>
              <w:rPr>
                <w:sz w:val="20"/>
                <w:szCs w:val="20"/>
              </w:rPr>
              <w:t xml:space="preserve">The planning and zoning board, with the county highway department for salt storage</w:t>
            </w:r>
          </w:p>
        </w:tc>
        <w:tc>
          <w:tcPr>
            <w:tcW w:type="dxa" w:w="2599"/>
            <w:tcMar>
              <w:top w:type="dxa" w:w="70"/>
              <w:left w:type="dxa" w:w="100"/>
              <w:bottom w:type="dxa" w:w="70"/>
              <w:right w:type="dxa" w:w="100"/>
            </w:tcMar>
            <w:vAlign w:val="top"/>
          </w:tcPr>
          <w:p>
            <w:pPr>
              <w:spacing w:after="0" w:line="252"/>
              <w:jc w:val="left"/>
            </w:pPr>
            <w:r>
              <w:rPr>
                <w:sz w:val="20"/>
                <w:szCs w:val="20"/>
              </w:rPr>
              <w:t xml:space="preserve">Chloride trend, pesticide screening, and periodic updates to the travel-time model as pumping changes</w:t>
            </w:r>
          </w:p>
        </w:tc>
      </w:tr>
    </w:tbl>
    <w:p>
      <w:pPr>
        <w:spacing w:after="160" w:before="0"/>
      </w:pPr>
    </w:p>
    <w:p>
      <w:pPr>
        <w:keepNext/>
        <w:keepLines/>
        <w:spacing w:after="100" w:line="264"/>
      </w:pPr>
      <w:r>
        <w:rPr>
          <w:b/>
          <w:bCs/>
          <w:sz w:val="22"/>
          <w:szCs w:val="22"/>
        </w:rPr>
        <w:t xml:space="preserve">Site triage.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76"/>
        <w:gridCol w:w="1300"/>
        <w:gridCol w:w="1493"/>
        <w:gridCol w:w="3548"/>
        <w:gridCol w:w="4663"/>
      </w:tblGrid>
      <w:tr>
        <w:trPr>
          <w:cantSplit/>
          <w:tblHeader/>
        </w:trPr>
        <w:tc>
          <w:tcPr>
            <w:tcW w:type="dxa" w:w="26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 in Quarryfen</w:t>
            </w:r>
          </w:p>
        </w:tc>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Distance from the well</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Travel time</w:t>
            </w:r>
          </w:p>
        </w:tc>
        <w:tc>
          <w:tcPr>
            <w:tcW w:type="dxa" w:w="3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Zone</w:t>
            </w:r>
          </w:p>
        </w:tc>
        <w:tc>
          <w:tcPr>
            <w:tcW w:type="dxa" w:w="46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First control</w:t>
            </w:r>
          </w:p>
        </w:tc>
      </w:tr>
      <w:tr>
        <w:trPr>
          <w:cantSplit/>
        </w:trPr>
        <w:tc>
          <w:tcPr>
            <w:tcW w:type="dxa" w:w="2676"/>
            <w:tcMar>
              <w:top w:type="dxa" w:w="70"/>
              <w:left w:type="dxa" w:w="100"/>
              <w:bottom w:type="dxa" w:w="70"/>
              <w:right w:type="dxa" w:w="100"/>
            </w:tcMar>
            <w:vAlign w:val="top"/>
          </w:tcPr>
          <w:p>
            <w:pPr>
              <w:keepNext/>
              <w:spacing w:after="0" w:line="252"/>
              <w:jc w:val="left"/>
            </w:pPr>
            <w:r>
              <w:rPr>
                <w:sz w:val="20"/>
                <w:szCs w:val="20"/>
              </w:rPr>
              <w:t xml:space="preserve">Gravel drive and parking beside the wellhouse</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80 feet</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days</w:t>
            </w:r>
          </w:p>
        </w:tc>
        <w:tc>
          <w:tcPr>
            <w:tcW w:type="dxa" w:w="3548"/>
            <w:tcMar>
              <w:top w:type="dxa" w:w="70"/>
              <w:left w:type="dxa" w:w="100"/>
              <w:bottom w:type="dxa" w:w="70"/>
              <w:right w:type="dxa" w:w="100"/>
            </w:tcMar>
            <w:vAlign w:val="top"/>
          </w:tcPr>
          <w:p>
            <w:pPr>
              <w:keepNext/>
              <w:spacing w:after="0" w:line="252"/>
              <w:jc w:val="left"/>
            </w:pPr>
            <w:r>
              <w:rPr>
                <w:sz w:val="20"/>
                <w:szCs w:val="20"/>
              </w:rPr>
              <w:t xml:space="preserve">Zone 1, since it falls inside the fixed 200-foot radius</w:t>
            </w:r>
          </w:p>
        </w:tc>
        <w:tc>
          <w:tcPr>
            <w:tcW w:type="dxa" w:w="4663"/>
            <w:tcMar>
              <w:top w:type="dxa" w:w="70"/>
              <w:left w:type="dxa" w:w="100"/>
              <w:bottom w:type="dxa" w:w="70"/>
              <w:right w:type="dxa" w:w="100"/>
            </w:tcMar>
            <w:vAlign w:val="top"/>
          </w:tcPr>
          <w:p>
            <w:pPr>
              <w:keepNext/>
              <w:spacing w:after="0" w:line="252"/>
              <w:jc w:val="left"/>
            </w:pPr>
            <w:r>
              <w:rPr>
                <w:sz w:val="20"/>
                <w:szCs w:val="20"/>
              </w:rPr>
              <w:t xml:space="preserve">Move parking off the parcel and regrade so runoff drains away from the casing</w:t>
            </w:r>
          </w:p>
        </w:tc>
      </w:tr>
      <w:tr>
        <w:trPr>
          <w:cantSplit/>
        </w:trPr>
        <w:tc>
          <w:tcPr>
            <w:tcW w:type="dxa" w:w="2676"/>
            <w:tcMar>
              <w:top w:type="dxa" w:w="70"/>
              <w:left w:type="dxa" w:w="100"/>
              <w:bottom w:type="dxa" w:w="70"/>
              <w:right w:type="dxa" w:w="100"/>
            </w:tcMar>
            <w:vAlign w:val="top"/>
          </w:tcPr>
          <w:p>
            <w:pPr>
              <w:keepNext/>
              <w:spacing w:after="0" w:line="252"/>
              <w:jc w:val="left"/>
            </w:pPr>
            <w:r>
              <w:rPr>
                <w:sz w:val="20"/>
                <w:szCs w:val="20"/>
              </w:rPr>
              <w:t xml:space="preserve">Eleven homes on individual septic systems</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600 feet</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150 days</w:t>
            </w:r>
          </w:p>
        </w:tc>
        <w:tc>
          <w:tcPr>
            <w:tcW w:type="dxa" w:w="3548"/>
            <w:tcMar>
              <w:top w:type="dxa" w:w="70"/>
              <w:left w:type="dxa" w:w="100"/>
              <w:bottom w:type="dxa" w:w="70"/>
              <w:right w:type="dxa" w:w="100"/>
            </w:tcMar>
            <w:vAlign w:val="top"/>
          </w:tcPr>
          <w:p>
            <w:pPr>
              <w:keepNext/>
              <w:spacing w:after="0" w:line="252"/>
              <w:jc w:val="left"/>
            </w:pPr>
            <w:r>
              <w:rPr>
                <w:sz w:val="20"/>
                <w:szCs w:val="20"/>
              </w:rPr>
              <w:t xml:space="preserve">Zone 2, since 150 days is inside the 200-day boundary</w:t>
            </w:r>
          </w:p>
        </w:tc>
        <w:tc>
          <w:tcPr>
            <w:tcW w:type="dxa" w:w="4663"/>
            <w:tcMar>
              <w:top w:type="dxa" w:w="70"/>
              <w:left w:type="dxa" w:w="100"/>
              <w:bottom w:type="dxa" w:w="70"/>
              <w:right w:type="dxa" w:w="100"/>
            </w:tcMar>
            <w:vAlign w:val="top"/>
          </w:tcPr>
          <w:p>
            <w:pPr>
              <w:keepNext/>
              <w:spacing w:after="0" w:line="252"/>
              <w:jc w:val="left"/>
            </w:pPr>
            <w:r>
              <w:rPr>
                <w:sz w:val="20"/>
                <w:szCs w:val="20"/>
              </w:rPr>
              <w:t xml:space="preserve">Extend sewer to the homes, or require inspection and a density limit until that is possible</w:t>
            </w:r>
          </w:p>
        </w:tc>
      </w:tr>
      <w:tr>
        <w:trPr>
          <w:cantSplit/>
        </w:trPr>
        <w:tc>
          <w:tcPr>
            <w:tcW w:type="dxa" w:w="2676"/>
            <w:tcMar>
              <w:top w:type="dxa" w:w="70"/>
              <w:left w:type="dxa" w:w="100"/>
              <w:bottom w:type="dxa" w:w="70"/>
              <w:right w:type="dxa" w:w="100"/>
            </w:tcMar>
            <w:vAlign w:val="top"/>
          </w:tcPr>
          <w:p>
            <w:pPr>
              <w:keepNext/>
              <w:spacing w:after="0" w:line="252"/>
              <w:jc w:val="left"/>
            </w:pPr>
            <w:r>
              <w:rPr>
                <w:sz w:val="20"/>
                <w:szCs w:val="20"/>
              </w:rPr>
              <w:t xml:space="preserve">An unused farm well, uncapped</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900 feet</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220 days</w:t>
            </w:r>
          </w:p>
        </w:tc>
        <w:tc>
          <w:tcPr>
            <w:tcW w:type="dxa" w:w="3548"/>
            <w:tcMar>
              <w:top w:type="dxa" w:w="70"/>
              <w:left w:type="dxa" w:w="100"/>
              <w:bottom w:type="dxa" w:w="70"/>
              <w:right w:type="dxa" w:w="100"/>
            </w:tcMar>
            <w:vAlign w:val="top"/>
          </w:tcPr>
          <w:p>
            <w:pPr>
              <w:keepNext/>
              <w:spacing w:after="0" w:line="252"/>
              <w:jc w:val="left"/>
            </w:pPr>
            <w:r>
              <w:rPr>
                <w:sz w:val="20"/>
                <w:szCs w:val="20"/>
              </w:rPr>
              <w:t xml:space="preserve">Zone 3, since 220 days is past the 200-day boundary but well inside 5 years</w:t>
            </w:r>
          </w:p>
        </w:tc>
        <w:tc>
          <w:tcPr>
            <w:tcW w:type="dxa" w:w="4663"/>
            <w:tcMar>
              <w:top w:type="dxa" w:w="70"/>
              <w:left w:type="dxa" w:w="100"/>
              <w:bottom w:type="dxa" w:w="70"/>
              <w:right w:type="dxa" w:w="100"/>
            </w:tcMar>
            <w:vAlign w:val="top"/>
          </w:tcPr>
          <w:p>
            <w:pPr>
              <w:keepNext/>
              <w:spacing w:after="0" w:line="252"/>
              <w:jc w:val="left"/>
            </w:pPr>
            <w:r>
              <w:rPr>
                <w:sz w:val="20"/>
                <w:szCs w:val="20"/>
              </w:rPr>
              <w:t xml:space="preserve">Decommission the well by sealing it, because an open bore is a direct path past the protective soil</w:t>
            </w:r>
          </w:p>
        </w:tc>
      </w:tr>
      <w:tr>
        <w:trPr>
          <w:cantSplit/>
        </w:trPr>
        <w:tc>
          <w:tcPr>
            <w:tcW w:type="dxa" w:w="2676"/>
            <w:tcMar>
              <w:top w:type="dxa" w:w="70"/>
              <w:left w:type="dxa" w:w="100"/>
              <w:bottom w:type="dxa" w:w="70"/>
              <w:right w:type="dxa" w:w="100"/>
            </w:tcMar>
            <w:vAlign w:val="top"/>
          </w:tcPr>
          <w:p>
            <w:pPr>
              <w:keepNext/>
              <w:spacing w:after="0" w:line="252"/>
              <w:jc w:val="left"/>
            </w:pPr>
            <w:r>
              <w:rPr>
                <w:sz w:val="20"/>
                <w:szCs w:val="20"/>
              </w:rPr>
              <w:t xml:space="preserve">A school bus garage with an above-ground diesel tank</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1,400 feet</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3 years</w:t>
            </w:r>
          </w:p>
        </w:tc>
        <w:tc>
          <w:tcPr>
            <w:tcW w:type="dxa" w:w="3548"/>
            <w:tcMar>
              <w:top w:type="dxa" w:w="70"/>
              <w:left w:type="dxa" w:w="100"/>
              <w:bottom w:type="dxa" w:w="70"/>
              <w:right w:type="dxa" w:w="100"/>
            </w:tcMar>
            <w:vAlign w:val="top"/>
          </w:tcPr>
          <w:p>
            <w:pPr>
              <w:keepNext/>
              <w:spacing w:after="0" w:line="252"/>
              <w:jc w:val="left"/>
            </w:pPr>
            <w:r>
              <w:rPr>
                <w:sz w:val="20"/>
                <w:szCs w:val="20"/>
              </w:rPr>
              <w:t xml:space="preserve">Zone 3, since 3 years is inside the 5-year boundary</w:t>
            </w:r>
          </w:p>
        </w:tc>
        <w:tc>
          <w:tcPr>
            <w:tcW w:type="dxa" w:w="4663"/>
            <w:tcMar>
              <w:top w:type="dxa" w:w="70"/>
              <w:left w:type="dxa" w:w="100"/>
              <w:bottom w:type="dxa" w:w="70"/>
              <w:right w:type="dxa" w:w="100"/>
            </w:tcMar>
            <w:vAlign w:val="top"/>
          </w:tcPr>
          <w:p>
            <w:pPr>
              <w:keepNext/>
              <w:spacing w:after="0" w:line="252"/>
              <w:jc w:val="left"/>
            </w:pPr>
            <w:r>
              <w:rPr>
                <w:sz w:val="20"/>
                <w:szCs w:val="20"/>
              </w:rPr>
              <w:t xml:space="preserve">Build secondary containment around the tank and file a spill response plan</w:t>
            </w:r>
          </w:p>
        </w:tc>
      </w:tr>
      <w:tr>
        <w:trPr>
          <w:cantSplit/>
        </w:trPr>
        <w:tc>
          <w:tcPr>
            <w:tcW w:type="dxa" w:w="2676"/>
            <w:tcMar>
              <w:top w:type="dxa" w:w="70"/>
              <w:left w:type="dxa" w:w="100"/>
              <w:bottom w:type="dxa" w:w="70"/>
              <w:right w:type="dxa" w:w="100"/>
            </w:tcMar>
            <w:vAlign w:val="top"/>
          </w:tcPr>
          <w:p>
            <w:pPr>
              <w:spacing w:after="0" w:line="252"/>
              <w:jc w:val="left"/>
            </w:pPr>
            <w:r>
              <w:rPr>
                <w:sz w:val="20"/>
                <w:szCs w:val="20"/>
              </w:rPr>
              <w:t xml:space="preserve">A county road salt pile under an open shed</w:t>
            </w:r>
          </w:p>
        </w:tc>
        <w:tc>
          <w:tcPr>
            <w:tcW w:type="dxa" w:w="1300"/>
            <w:tcMar>
              <w:top w:type="dxa" w:w="70"/>
              <w:left w:type="dxa" w:w="100"/>
              <w:bottom w:type="dxa" w:w="70"/>
              <w:right w:type="dxa" w:w="100"/>
            </w:tcMar>
            <w:vAlign w:val="top"/>
          </w:tcPr>
          <w:p>
            <w:pPr>
              <w:spacing w:after="0" w:line="252"/>
              <w:jc w:val="left"/>
            </w:pPr>
            <w:r>
              <w:rPr>
                <w:sz w:val="20"/>
                <w:szCs w:val="20"/>
              </w:rPr>
              <w:t xml:space="preserve">2,600 feet</w:t>
            </w:r>
          </w:p>
        </w:tc>
        <w:tc>
          <w:tcPr>
            <w:tcW w:type="dxa" w:w="1493"/>
            <w:tcMar>
              <w:top w:type="dxa" w:w="70"/>
              <w:left w:type="dxa" w:w="100"/>
              <w:bottom w:type="dxa" w:w="70"/>
              <w:right w:type="dxa" w:w="100"/>
            </w:tcMar>
            <w:vAlign w:val="top"/>
          </w:tcPr>
          <w:p>
            <w:pPr>
              <w:spacing w:after="0" w:line="252"/>
              <w:jc w:val="left"/>
            </w:pPr>
            <w:r>
              <w:rPr>
                <w:sz w:val="20"/>
                <w:szCs w:val="20"/>
              </w:rPr>
              <w:t xml:space="preserve">6 years</w:t>
            </w:r>
          </w:p>
        </w:tc>
        <w:tc>
          <w:tcPr>
            <w:tcW w:type="dxa" w:w="3548"/>
            <w:tcMar>
              <w:top w:type="dxa" w:w="70"/>
              <w:left w:type="dxa" w:w="100"/>
              <w:bottom w:type="dxa" w:w="70"/>
              <w:right w:type="dxa" w:w="100"/>
            </w:tcMar>
            <w:vAlign w:val="top"/>
          </w:tcPr>
          <w:p>
            <w:pPr>
              <w:spacing w:after="0" w:line="252"/>
              <w:jc w:val="left"/>
            </w:pPr>
            <w:r>
              <w:rPr>
                <w:sz w:val="20"/>
                <w:szCs w:val="20"/>
              </w:rPr>
              <w:t xml:space="preserve">Zone 4, since 6 years is beyond the 5-year boundary</w:t>
            </w:r>
          </w:p>
        </w:tc>
        <w:tc>
          <w:tcPr>
            <w:tcW w:type="dxa" w:w="4663"/>
            <w:tcMar>
              <w:top w:type="dxa" w:w="70"/>
              <w:left w:type="dxa" w:w="100"/>
              <w:bottom w:type="dxa" w:w="70"/>
              <w:right w:type="dxa" w:w="100"/>
            </w:tcMar>
            <w:vAlign w:val="top"/>
          </w:tcPr>
          <w:p>
            <w:pPr>
              <w:spacing w:after="0" w:line="252"/>
              <w:jc w:val="left"/>
            </w:pPr>
            <w:r>
              <w:rPr>
                <w:sz w:val="20"/>
                <w:szCs w:val="20"/>
              </w:rPr>
              <w:t xml:space="preserve">Enclose the salt storage on a sealed pad and begin tracking the chloride trend in the well</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Quarryfen Wellfield Protection Zones: A Land-Use Organizer</dc:title>
  <dc:subject>Graphic organizer · Grade 10 · Engineering &amp; Design</dc:subject>
  <dc:creator>Water for Schools</dc:creator>
  <cp:keywords>Graphic organizer, Grade 10, Engineering &amp; Design</cp:keywords>
  <dc:description>A grade 10 organizer mapping four wellhead protection zones around a fictional public well, matching the threats in each zone to controls and to who enforces them.</dc:description>
  <cp:lastModifiedBy>Water for Schools</cp:lastModifiedBy>
  <cp:revision>1</cp:revision>
  <dcterms:created xsi:type="dcterms:W3CDTF">2026-10-19T16:29:01.982Z</dcterms:created>
  <dcterms:modified xsi:type="dcterms:W3CDTF">2026-10-19T16:29:01.982Z</dcterms:modified>
</cp:coreProperties>
</file>

<file path=docProps/custom.xml><?xml version="1.0" encoding="utf-8"?>
<Properties xmlns="http://schemas.openxmlformats.org/officeDocument/2006/custom-properties" xmlns:vt="http://schemas.openxmlformats.org/officeDocument/2006/docPropsVTypes"/>
</file>