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Source Waters for Cardimore: A Treatment Selection Frame</w:t>
      </w:r>
    </w:p>
    <w:p>
      <w:pPr>
        <w:keepNext/>
        <w:spacing w:after="160"/>
      </w:pPr>
      <w:r>
        <w:rPr>
          <w:color w:val="5B6B70"/>
          <w:sz w:val="20"/>
          <w:szCs w:val="20"/>
        </w:rPr>
        <w:t xml:space="preserve">Graphic organizer · Grade 11 · Engineering &amp; Design</w:t>
      </w:r>
    </w:p>
    <w:p>
      <w:pPr>
        <w:spacing w:after="100" w:line="264"/>
      </w:pPr>
      <w:r>
        <w:rPr>
          <w:i/>
          <w:iCs/>
          <w:color w:val="12333F"/>
          <w:sz w:val="22"/>
          <w:szCs w:val="22"/>
        </w:rPr>
        <w:t xml:space="preserve">A grade 11 three-column organizer comparing a river, a reservoir, and a sandstone aquifer across nine design criteria, with a completed exemplar for teachers.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translate raw water characteristics into required treatment barriers.</w:t>
      </w:r>
    </w:p>
    <w:p>
      <w:pPr>
        <w:pStyle w:val="ListParagraph"/>
        <w:keepNext/>
        <w:keepLines/>
        <w:numPr>
          <w:ilvl w:val="0"/>
          <w:numId w:val="2"/>
        </w:numPr>
        <w:spacing w:after="60" w:line="264"/>
        <w:ind w:left="720" w:hanging="360"/>
      </w:pPr>
      <w:r>
        <w:rPr>
          <w:sz w:val="22"/>
          <w:szCs w:val="22"/>
        </w:rPr>
        <w:t xml:space="preserve">Students will compare three candidate sources across nine design criteria.</w:t>
      </w:r>
    </w:p>
    <w:p>
      <w:pPr>
        <w:pStyle w:val="ListParagraph"/>
        <w:keepLines/>
        <w:numPr>
          <w:ilvl w:val="0"/>
          <w:numId w:val="2"/>
        </w:numPr>
        <w:spacing w:after="60" w:line="264"/>
        <w:ind w:left="720" w:hanging="360"/>
      </w:pPr>
      <w:r>
        <w:rPr>
          <w:sz w:val="22"/>
          <w:szCs w:val="22"/>
        </w:rPr>
        <w:t xml:space="preserve">Students will justify a source recommendation using seasonal risk rather than average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HS-ETS1-1 (NGSS)</w:t>
      </w:r>
      <w:r>
        <w:rPr>
          <w:sz w:val="22"/>
          <w:szCs w:val="22"/>
        </w:rPr>
        <w:t xml:space="preserve">: Analyze a major global challenge to specify qualitative and quantitative criteria and constraints for solutions that account for societal needs and wants.</w:t>
      </w:r>
    </w:p>
    <w:p>
      <w:pPr>
        <w:spacing w:after="100" w:line="264"/>
        <w:ind w:left="360"/>
      </w:pPr>
      <w:r>
        <w:rPr>
          <w:i/>
          <w:iCs/>
          <w:color w:val="5B6B70"/>
          <w:sz w:val="20"/>
          <w:szCs w:val="20"/>
        </w:rPr>
        <w:t xml:space="preserve">How this material addresses it: Each organizer row converts one source characteristic into a measurable criterion or constraint that a treatment plant must satisfy, the criteria-and-constraints work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The quantity-constraint and design-risk rows require students to weigh seasonal water quality, supply reliability, and treatment burden against one another before recommending a source, which is the prioritized evaluation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Raw water</w:t>
      </w:r>
      <w:r>
        <w:rPr>
          <w:sz w:val="22"/>
          <w:szCs w:val="22"/>
        </w:rPr>
        <w:t xml:space="preserve">: Raw water is water taken from a river, lake, or well before it has been treated. It may look clean, but it is not ready to drink yet.</w:t>
      </w:r>
    </w:p>
    <w:p>
      <w:pPr>
        <w:spacing w:after="100" w:line="264"/>
      </w:pPr>
      <w:r>
        <w:rPr>
          <w:b/>
          <w:bCs/>
          <w:sz w:val="22"/>
          <w:szCs w:val="22"/>
        </w:rPr>
        <w:t xml:space="preserve">Also: </w:t>
      </w:r>
      <w:r>
        <w:rPr>
          <w:sz w:val="22"/>
          <w:szCs w:val="22"/>
        </w:rPr>
        <w:t xml:space="preserve">treatment barrier, natural organic matter, stratification, hardness</w:t>
      </w:r>
    </w:p>
    <w:p>
      <w:pPr>
        <w:pStyle w:val="Heading2"/>
        <w:keepNext/>
        <w:keepLines/>
      </w:pPr>
      <w:r>
        <w:rPr>
          <w:sz w:val="28"/>
          <w:szCs w:val="28"/>
        </w:rPr>
        <w:t xml:space="preserve">Teacher overview</w:t>
      </w:r>
    </w:p>
    <w:p>
      <w:pPr>
        <w:spacing w:after="100" w:line="264"/>
      </w:pPr>
      <w:r>
        <w:rPr>
          <w:sz w:val="22"/>
          <w:szCs w:val="22"/>
        </w:rPr>
        <w:t xml:space="preserve">This organizer is a three-column comparison frame in which each row states one design criterion and each column holds one candidate source for a small town's new water supply. Students fill the frame from a short source-water description, then use the completed columns to recommend a source and the treatment barriers it demands. The structure keeps the comparison honest, because a source that looks best on an annual average can be the hardest to treat during the two weeks of the year that actually govern plant design. The misconception the frame is built to surface is the widespread belief that groundwater is inherently clean and therefore the cheap choice; a sandstone well often arrives with hardness, iron, and manganese that require their own treatment train, and the drawdown limit on a wellfield can cap the town's growth year-round, while a river's limit applies mainly during late-summer low flow.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first two rows completed for all three fictional columns as a worked model, and reduce the frame to six rows by removing the quantity constraint, the taste-and-odor, and the design-risk rows. Provide a word bank containing coagulation, sedimentation, filtration, disinfection, oxidation, softening, and activated carbon so the treatment-barrier row can be built from named parts.</w:t>
      </w:r>
    </w:p>
    <w:p>
      <w:pPr>
        <w:pStyle w:val="Heading3"/>
        <w:keepNext/>
        <w:keepLines/>
      </w:pPr>
      <w:r>
        <w:rPr>
          <w:sz w:val="24"/>
          <w:szCs w:val="24"/>
        </w:rPr>
        <w:t xml:space="preserve">Extension</w:t>
      </w:r>
    </w:p>
    <w:p>
      <w:pPr>
        <w:spacing w:after="100" w:line="264"/>
      </w:pPr>
      <w:r>
        <w:rPr>
          <w:sz w:val="22"/>
          <w:szCs w:val="22"/>
        </w:rPr>
        <w:t xml:space="preserve">Ask these students to add a tenth row for the energy each source would require per unit of water delivered, filling it qualitatively, and to explain why a plant on the fictional aquifer may still cost more to run than one on the fictional river. Then have them write a one-paragraph recommendation naming the source they would choose and the single criterion that decided it.</w:t>
      </w:r>
    </w:p>
    <w:p>
      <w:pPr>
        <w:pStyle w:val="Heading3"/>
        <w:keepNext/>
        <w:keepLines/>
      </w:pPr>
      <w:r>
        <w:rPr>
          <w:sz w:val="24"/>
          <w:szCs w:val="24"/>
        </w:rPr>
        <w:t xml:space="preserve">ELL supports</w:t>
      </w:r>
    </w:p>
    <w:p>
      <w:pPr>
        <w:spacing w:after="100" w:line="264"/>
      </w:pPr>
      <w:r>
        <w:rPr>
          <w:sz w:val="22"/>
          <w:szCs w:val="22"/>
        </w:rPr>
        <w:t xml:space="preserve">Pair each row label with a simple icon: a cloud and raindrop for turbidity, a thermometer for temperature, a leaf for organic matter, a shield for pathogen barriers, a faucet with a white ring for hardness, and a nose for taste and odor. Allow cells to be completed with short phrases rather than sentences, and provide the frame "The fictional river needs ___ because its water ___."</w:t>
      </w:r>
    </w:p>
    <w:p>
      <w:pPr>
        <w:pStyle w:val="Heading2"/>
        <w:keepNext/>
        <w:keepLines/>
      </w:pPr>
      <w:r>
        <w:rPr>
          <w:sz w:val="28"/>
          <w:szCs w:val="28"/>
        </w:rPr>
        <w:t xml:space="preserve">Extensions</w:t>
      </w:r>
    </w:p>
    <w:p>
      <w:pPr>
        <w:spacing w:after="100" w:line="264"/>
      </w:pPr>
      <w:r>
        <w:rPr>
          <w:sz w:val="22"/>
          <w:szCs w:val="22"/>
        </w:rPr>
        <w:t xml:space="preserve">Have students locate the annual water quality report published by their own utility and identify which of the three fictional source types it most resembles, then mark which rows of the organizer the report lets them fill with real local values. A second step is to ask what the report does not tell them, since most reports publish annual averages rather than the storm-day and bloom-season values that actually drive plant design. Students can then write a short list of questions they would ask a plant operator to fill the remaining cells.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Source Waters for Cardimore: A Treatment Selection Frame</w:t>
      </w:r>
    </w:p>
    <w:p>
      <w:pPr>
        <w:keepNext/>
        <w:spacing w:after="160"/>
      </w:pPr>
      <w:r>
        <w:rPr>
          <w:color w:val="5B6B70"/>
          <w:sz w:val="20"/>
          <w:szCs w:val="20"/>
        </w:rPr>
        <w:t xml:space="preserve">Grade 11 · Engineering &amp; Design</w:t>
      </w:r>
    </w:p>
    <w:p>
      <w:pPr>
        <w:pStyle w:val="Heading2"/>
        <w:keepNext/>
        <w:keepLines/>
      </w:pPr>
      <w:r>
        <w:rPr>
          <w:sz w:val="28"/>
          <w:szCs w:val="28"/>
        </w:rPr>
        <w:t xml:space="preserve">Organizer</w:t>
      </w:r>
    </w:p>
    <w:p>
      <w:pPr>
        <w:keepNext/>
        <w:keepLines/>
        <w:spacing w:after="120" w:line="276"/>
      </w:pPr>
      <w:r>
        <w:rPr>
          <w:sz w:val="22"/>
          <w:szCs w:val="22"/>
        </w:rPr>
        <w:t xml:space="preserve">The fictional town of Cardimore is choosing among three candidate sources for a new plant. Fill in each cell from the source descriptions below, giving units wherever a cell holds a measurement. All figures in this scenario are hypothetical.</w:t>
      </w:r>
    </w:p>
    <w:p>
      <w:pPr>
        <w:pStyle w:val="ListParagraph"/>
        <w:keepLines/>
        <w:numPr>
          <w:ilvl w:val="0"/>
          <w:numId w:val="3"/>
        </w:numPr>
        <w:spacing w:after="60" w:line="276"/>
        <w:ind w:left="720" w:hanging="360"/>
      </w:pPr>
      <w:r>
        <w:rPr>
          <w:b/>
          <w:bCs/>
          <w:sz w:val="22"/>
          <w:szCs w:val="22"/>
        </w:rPr>
        <w:t xml:space="preserve">The Verrow River:</w:t>
      </w:r>
      <w:r>
        <w:rPr>
          <w:sz w:val="22"/>
          <w:szCs w:val="22"/>
        </w:rPr>
        <w:t xml:space="preserve"> Turbidity is near 4 NTU in dry weather and rises past 300 NTU within hours of a storm. Water temperature runs from about 1 to 26 degrees Celsius over the year. Organic matter is high and climbs after storms and in warm months. Hardness is moderate, iron is low, and manganese rises slightly after storms. Occasional tastes and odors follow rain and are tied to upstream discharges. The river is open to runoff and wildlife, and the withdrawal permit caps how much the town may take during late-summer low flow.</w:t>
      </w:r>
    </w:p>
    <w:p>
      <w:pPr>
        <w:pStyle w:val="ListParagraph"/>
        <w:keepLines/>
        <w:numPr>
          <w:ilvl w:val="0"/>
          <w:numId w:val="3"/>
        </w:numPr>
        <w:spacing w:after="60" w:line="276"/>
        <w:ind w:left="720" w:hanging="360"/>
      </w:pPr>
      <w:r>
        <w:rPr>
          <w:b/>
          <w:bCs/>
          <w:sz w:val="22"/>
          <w:szCs w:val="22"/>
        </w:rPr>
        <w:t xml:space="preserve">Cardimore Reservoir:</w:t>
      </w:r>
      <w:r>
        <w:rPr>
          <w:sz w:val="22"/>
          <w:szCs w:val="22"/>
        </w:rPr>
        <w:t xml:space="preserve"> Turbidity holds steady between 2 and 6 NTU and changes little after storms. In summer the surface layer is warm and the deep water is cold, and the water column mixes in autumn. Organic matter is moderate most of the year and rises sharply during algal blooms each August and September, when the water develops earthy tastes and odors. Hardness is moderate, and the oxygen-poor bottom layer releases manganese in late summer. The supply is limited by how much water storage can carry through a dry year.</w:t>
      </w:r>
    </w:p>
    <w:p>
      <w:pPr>
        <w:pStyle w:val="ListParagraph"/>
        <w:keepLines/>
        <w:numPr>
          <w:ilvl w:val="0"/>
          <w:numId w:val="3"/>
        </w:numPr>
        <w:spacing w:after="60" w:line="276"/>
        <w:ind w:left="720" w:hanging="360"/>
      </w:pPr>
      <w:r>
        <w:rPr>
          <w:b/>
          <w:bCs/>
          <w:sz w:val="22"/>
          <w:szCs w:val="22"/>
        </w:rPr>
        <w:t xml:space="preserve">The Corham sandstone aquifer:</w:t>
      </w:r>
      <w:r>
        <w:rPr>
          <w:sz w:val="22"/>
          <w:szCs w:val="22"/>
        </w:rPr>
        <w:t xml:space="preserve"> Turbidity stays below 1 NTU all year, and water temperature stays near 12 degrees Celsius. Organic matter is low. Hardness is near 240 mg/L as calcium carbonate and iron is near 1.6 mg/L in every sample, and the iron stains fixtures. Testing has not yet shown whether the wells are influenced by surface water. The amount the town can pump is limited by well yield and by how much drawdown the aquifer will tolerate.</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6"/>
        <w:gridCol w:w="2336"/>
        <w:gridCol w:w="2401"/>
        <w:gridCol w:w="2567"/>
      </w:tblGrid>
      <w:tr>
        <w:trPr>
          <w:cantSplit/>
          <w:tblHeader/>
        </w:trPr>
        <w:tc>
          <w:tcPr>
            <w:tcW w:type="dxa" w:w="27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 criterion</w:t>
            </w:r>
          </w:p>
        </w:tc>
        <w:tc>
          <w:tcPr>
            <w:tcW w:type="dxa" w:w="23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Verrow River</w:t>
            </w:r>
          </w:p>
        </w:tc>
        <w:tc>
          <w:tcPr>
            <w:tcW w:type="dxa" w:w="24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Cardimore Reservoir</w:t>
            </w:r>
          </w:p>
        </w:tc>
        <w:tc>
          <w:tcPr>
            <w:tcW w:type="dxa" w:w="25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Corham sandstone aquifer</w:t>
            </w: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Typical raw turbidity and how fast it changes</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Temperature range across the year</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Natural organic matter and disinfection byproduct risk</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Pathogen barriers the source demands</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Hardness, iron, and manganese</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Seasonal taste-and-odor risk</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Treatment barriers this source indicates</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Quantity constraint on how much the town can take</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r>
        <w:trPr>
          <w:cantSplit/>
          <w:trHeight w:val="1224" w:hRule="atLeast"/>
        </w:trPr>
        <w:tc>
          <w:tcPr>
            <w:tcW w:type="dxa" w:w="2776"/>
            <w:tcMar>
              <w:top w:type="dxa" w:w="70"/>
              <w:left w:type="dxa" w:w="100"/>
              <w:bottom w:type="dxa" w:w="70"/>
              <w:right w:type="dxa" w:w="100"/>
            </w:tcMar>
            <w:vAlign w:val="top"/>
          </w:tcPr>
          <w:p>
            <w:pPr>
              <w:spacing w:after="0" w:line="252"/>
              <w:jc w:val="left"/>
            </w:pPr>
            <w:r>
              <w:rPr>
                <w:sz w:val="22"/>
                <w:szCs w:val="22"/>
              </w:rPr>
              <w:t xml:space="preserve">Largest design risk if this source is chosen</w:t>
            </w:r>
          </w:p>
        </w:tc>
        <w:tc>
          <w:tcPr>
            <w:tcW w:type="dxa" w:w="2336"/>
            <w:tcMar>
              <w:top w:type="dxa" w:w="70"/>
              <w:left w:type="dxa" w:w="100"/>
              <w:bottom w:type="dxa" w:w="70"/>
              <w:right w:type="dxa" w:w="100"/>
            </w:tcMar>
            <w:vAlign w:val="top"/>
          </w:tcPr>
          <w:p>
            <w:pPr>
              <w:spacing w:after="0" w:line="252"/>
              <w:jc w:val="left"/>
            </w:pPr>
          </w:p>
        </w:tc>
        <w:tc>
          <w:tcPr>
            <w:tcW w:type="dxa" w:w="2401"/>
            <w:tcMar>
              <w:top w:type="dxa" w:w="70"/>
              <w:left w:type="dxa" w:w="100"/>
              <w:bottom w:type="dxa" w:w="70"/>
              <w:right w:type="dxa" w:w="100"/>
            </w:tcMar>
            <w:vAlign w:val="top"/>
          </w:tcPr>
          <w:p>
            <w:pPr>
              <w:spacing w:after="0" w:line="252"/>
              <w:jc w:val="left"/>
            </w:pPr>
          </w:p>
        </w:tc>
        <w:tc>
          <w:tcPr>
            <w:tcW w:type="dxa" w:w="256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Three Source Waters for Cardimore: A Treatment Selection Frame</w:t>
      </w:r>
    </w:p>
    <w:p>
      <w:pPr>
        <w:keepNext/>
        <w:spacing w:after="160"/>
      </w:pPr>
      <w:r>
        <w:rPr>
          <w:color w:val="5B6B70"/>
          <w:sz w:val="20"/>
          <w:szCs w:val="20"/>
        </w:rPr>
        <w:t xml:space="preserve">Graphic organizer · Grade 11 · Engineering &amp; Design</w:t>
      </w:r>
    </w:p>
    <w:p>
      <w:pPr>
        <w:spacing w:after="100" w:line="264"/>
      </w:pPr>
      <w:r>
        <w:rPr>
          <w:sz w:val="22"/>
          <w:szCs w:val="22"/>
        </w:rPr>
        <w:t xml:space="preserve">All values below describe the fictional Cardimore sources and are hypothetical figures written for this organizer. The finished-water turbidity target of 0.3 NTU applies to both surface-water columns, since the rule sets it for filtration plants treating surface water; it would apply to the aquifer only if the wells were found to be under the direct influence of surface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62"/>
        <w:gridCol w:w="2800"/>
        <w:gridCol w:w="2790"/>
        <w:gridCol w:w="2628"/>
      </w:tblGrid>
      <w:tr>
        <w:trPr>
          <w:cantSplit/>
          <w:tblHeader/>
        </w:trPr>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 criterion</w:t>
            </w:r>
          </w:p>
        </w:tc>
        <w:tc>
          <w:tcPr>
            <w:tcW w:type="dxa" w:w="28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Verrow River</w:t>
            </w:r>
          </w:p>
        </w:tc>
        <w:tc>
          <w:tcPr>
            <w:tcW w:type="dxa" w:w="27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Cardimore Reservoir</w:t>
            </w:r>
          </w:p>
        </w:tc>
        <w:tc>
          <w:tcPr>
            <w:tcW w:type="dxa" w:w="26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Corham sandstone aquifer</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Typical raw turbidity and how fast it changes</w:t>
            </w:r>
          </w:p>
        </w:tc>
        <w:tc>
          <w:tcPr>
            <w:tcW w:type="dxa" w:w="2800"/>
            <w:tcMar>
              <w:top w:type="dxa" w:w="70"/>
              <w:left w:type="dxa" w:w="100"/>
              <w:bottom w:type="dxa" w:w="70"/>
              <w:right w:type="dxa" w:w="100"/>
            </w:tcMar>
            <w:vAlign w:val="top"/>
          </w:tcPr>
          <w:p>
            <w:pPr>
              <w:spacing w:after="0" w:line="252"/>
              <w:jc w:val="left"/>
            </w:pPr>
            <w:r>
              <w:rPr>
                <w:sz w:val="22"/>
                <w:szCs w:val="22"/>
              </w:rPr>
              <w:t xml:space="preserve">Near 4 NTU in dry weather, rising past 300 NTU within hours of a storm</w:t>
            </w:r>
          </w:p>
        </w:tc>
        <w:tc>
          <w:tcPr>
            <w:tcW w:type="dxa" w:w="2790"/>
            <w:tcMar>
              <w:top w:type="dxa" w:w="70"/>
              <w:left w:type="dxa" w:w="100"/>
              <w:bottom w:type="dxa" w:w="70"/>
              <w:right w:type="dxa" w:w="100"/>
            </w:tcMar>
            <w:vAlign w:val="top"/>
          </w:tcPr>
          <w:p>
            <w:pPr>
              <w:spacing w:after="0" w:line="252"/>
              <w:jc w:val="left"/>
            </w:pPr>
            <w:r>
              <w:rPr>
                <w:sz w:val="22"/>
                <w:szCs w:val="22"/>
              </w:rPr>
              <w:t xml:space="preserve">Steady between 2 and 6 NTU, with little storm response</w:t>
            </w:r>
          </w:p>
        </w:tc>
        <w:tc>
          <w:tcPr>
            <w:tcW w:type="dxa" w:w="2628"/>
            <w:tcMar>
              <w:top w:type="dxa" w:w="70"/>
              <w:left w:type="dxa" w:w="100"/>
              <w:bottom w:type="dxa" w:w="70"/>
              <w:right w:type="dxa" w:w="100"/>
            </w:tcMar>
            <w:vAlign w:val="top"/>
          </w:tcPr>
          <w:p>
            <w:pPr>
              <w:spacing w:after="0" w:line="252"/>
              <w:jc w:val="left"/>
            </w:pPr>
            <w:r>
              <w:rPr>
                <w:sz w:val="22"/>
                <w:szCs w:val="22"/>
              </w:rPr>
              <w:t xml:space="preserve">Below 1 NTU and nearly constant all year</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Temperature range across the year</w:t>
            </w:r>
          </w:p>
        </w:tc>
        <w:tc>
          <w:tcPr>
            <w:tcW w:type="dxa" w:w="2800"/>
            <w:tcMar>
              <w:top w:type="dxa" w:w="70"/>
              <w:left w:type="dxa" w:w="100"/>
              <w:bottom w:type="dxa" w:w="70"/>
              <w:right w:type="dxa" w:w="100"/>
            </w:tcMar>
            <w:vAlign w:val="top"/>
          </w:tcPr>
          <w:p>
            <w:pPr>
              <w:spacing w:after="0" w:line="252"/>
              <w:jc w:val="left"/>
            </w:pPr>
            <w:r>
              <w:rPr>
                <w:sz w:val="22"/>
                <w:szCs w:val="22"/>
              </w:rPr>
              <w:t xml:space="preserve">Roughly 1 to 26 degrees Celsius, which changes coagulation chemistry seasonally</w:t>
            </w:r>
          </w:p>
        </w:tc>
        <w:tc>
          <w:tcPr>
            <w:tcW w:type="dxa" w:w="2790"/>
            <w:tcMar>
              <w:top w:type="dxa" w:w="70"/>
              <w:left w:type="dxa" w:w="100"/>
              <w:bottom w:type="dxa" w:w="70"/>
              <w:right w:type="dxa" w:w="100"/>
            </w:tcMar>
            <w:vAlign w:val="top"/>
          </w:tcPr>
          <w:p>
            <w:pPr>
              <w:spacing w:after="0" w:line="252"/>
              <w:jc w:val="left"/>
            </w:pPr>
            <w:r>
              <w:rPr>
                <w:sz w:val="22"/>
                <w:szCs w:val="22"/>
              </w:rPr>
              <w:t xml:space="preserve">Surface layer warm in summer, cold at depth, with the water column mixing in autumn</w:t>
            </w:r>
          </w:p>
        </w:tc>
        <w:tc>
          <w:tcPr>
            <w:tcW w:type="dxa" w:w="2628"/>
            <w:tcMar>
              <w:top w:type="dxa" w:w="70"/>
              <w:left w:type="dxa" w:w="100"/>
              <w:bottom w:type="dxa" w:w="70"/>
              <w:right w:type="dxa" w:w="100"/>
            </w:tcMar>
            <w:vAlign w:val="top"/>
          </w:tcPr>
          <w:p>
            <w:pPr>
              <w:spacing w:after="0" w:line="252"/>
              <w:jc w:val="left"/>
            </w:pPr>
            <w:r>
              <w:rPr>
                <w:sz w:val="22"/>
                <w:szCs w:val="22"/>
              </w:rPr>
              <w:t xml:space="preserve">Steady near 12 degrees Celsius, so chemistry is stable year round</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Natural organic matter and disinfection byproduct risk</w:t>
            </w:r>
          </w:p>
        </w:tc>
        <w:tc>
          <w:tcPr>
            <w:tcW w:type="dxa" w:w="2800"/>
            <w:tcMar>
              <w:top w:type="dxa" w:w="70"/>
              <w:left w:type="dxa" w:w="100"/>
              <w:bottom w:type="dxa" w:w="70"/>
              <w:right w:type="dxa" w:w="100"/>
            </w:tcMar>
            <w:vAlign w:val="top"/>
          </w:tcPr>
          <w:p>
            <w:pPr>
              <w:spacing w:after="0" w:line="252"/>
              <w:jc w:val="left"/>
            </w:pPr>
            <w:r>
              <w:rPr>
                <w:sz w:val="22"/>
                <w:szCs w:val="22"/>
              </w:rPr>
              <w:t xml:space="preserve">High and variable, so byproduct formation rises after storms and in warm months</w:t>
            </w:r>
          </w:p>
        </w:tc>
        <w:tc>
          <w:tcPr>
            <w:tcW w:type="dxa" w:w="2790"/>
            <w:tcMar>
              <w:top w:type="dxa" w:w="70"/>
              <w:left w:type="dxa" w:w="100"/>
              <w:bottom w:type="dxa" w:w="70"/>
              <w:right w:type="dxa" w:w="100"/>
            </w:tcMar>
            <w:vAlign w:val="top"/>
          </w:tcPr>
          <w:p>
            <w:pPr>
              <w:spacing w:after="0" w:line="252"/>
              <w:jc w:val="left"/>
            </w:pPr>
            <w:r>
              <w:rPr>
                <w:sz w:val="22"/>
                <w:szCs w:val="22"/>
              </w:rPr>
              <w:t xml:space="preserve">Moderate, rising sharply during late-summer algal blooms</w:t>
            </w:r>
          </w:p>
        </w:tc>
        <w:tc>
          <w:tcPr>
            <w:tcW w:type="dxa" w:w="2628"/>
            <w:tcMar>
              <w:top w:type="dxa" w:w="70"/>
              <w:left w:type="dxa" w:w="100"/>
              <w:bottom w:type="dxa" w:w="70"/>
              <w:right w:type="dxa" w:w="100"/>
            </w:tcMar>
            <w:vAlign w:val="top"/>
          </w:tcPr>
          <w:p>
            <w:pPr>
              <w:spacing w:after="0" w:line="252"/>
              <w:jc w:val="left"/>
            </w:pPr>
            <w:r>
              <w:rPr>
                <w:sz w:val="22"/>
                <w:szCs w:val="22"/>
              </w:rPr>
              <w:t xml:space="preserve">Low, so byproduct formation is the least of the three</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Pathogen barriers the source demands</w:t>
            </w:r>
          </w:p>
        </w:tc>
        <w:tc>
          <w:tcPr>
            <w:tcW w:type="dxa" w:w="2800"/>
            <w:tcMar>
              <w:top w:type="dxa" w:w="70"/>
              <w:left w:type="dxa" w:w="100"/>
              <w:bottom w:type="dxa" w:w="70"/>
              <w:right w:type="dxa" w:w="100"/>
            </w:tcMar>
            <w:vAlign w:val="top"/>
          </w:tcPr>
          <w:p>
            <w:pPr>
              <w:spacing w:after="0" w:line="252"/>
              <w:jc w:val="left"/>
            </w:pPr>
            <w:r>
              <w:rPr>
                <w:sz w:val="22"/>
                <w:szCs w:val="22"/>
              </w:rPr>
              <w:t xml:space="preserve">Filtration and disinfection, since the source is open to runoff and wildlife</w:t>
            </w:r>
          </w:p>
        </w:tc>
        <w:tc>
          <w:tcPr>
            <w:tcW w:type="dxa" w:w="2790"/>
            <w:tcMar>
              <w:top w:type="dxa" w:w="70"/>
              <w:left w:type="dxa" w:w="100"/>
              <w:bottom w:type="dxa" w:w="70"/>
              <w:right w:type="dxa" w:w="100"/>
            </w:tcMar>
            <w:vAlign w:val="top"/>
          </w:tcPr>
          <w:p>
            <w:pPr>
              <w:spacing w:after="0" w:line="252"/>
              <w:jc w:val="left"/>
            </w:pPr>
            <w:r>
              <w:rPr>
                <w:sz w:val="22"/>
                <w:szCs w:val="22"/>
              </w:rPr>
              <w:t xml:space="preserve">Filtration and disinfection, since the reservoir is also surface water</w:t>
            </w:r>
          </w:p>
        </w:tc>
        <w:tc>
          <w:tcPr>
            <w:tcW w:type="dxa" w:w="2628"/>
            <w:tcMar>
              <w:top w:type="dxa" w:w="70"/>
              <w:left w:type="dxa" w:w="100"/>
              <w:bottom w:type="dxa" w:w="70"/>
              <w:right w:type="dxa" w:w="100"/>
            </w:tcMar>
            <w:vAlign w:val="top"/>
          </w:tcPr>
          <w:p>
            <w:pPr>
              <w:spacing w:after="0" w:line="252"/>
              <w:jc w:val="left"/>
            </w:pPr>
            <w:r>
              <w:rPr>
                <w:sz w:val="22"/>
                <w:szCs w:val="22"/>
              </w:rPr>
              <w:t xml:space="preserve">Disinfection may be sufficient if the wells are shown not to be influenced by surface water</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Hardness, iron, and manganese</w:t>
            </w:r>
          </w:p>
        </w:tc>
        <w:tc>
          <w:tcPr>
            <w:tcW w:type="dxa" w:w="2800"/>
            <w:tcMar>
              <w:top w:type="dxa" w:w="70"/>
              <w:left w:type="dxa" w:w="100"/>
              <w:bottom w:type="dxa" w:w="70"/>
              <w:right w:type="dxa" w:w="100"/>
            </w:tcMar>
            <w:vAlign w:val="top"/>
          </w:tcPr>
          <w:p>
            <w:pPr>
              <w:spacing w:after="0" w:line="252"/>
              <w:jc w:val="left"/>
            </w:pPr>
            <w:r>
              <w:rPr>
                <w:sz w:val="22"/>
                <w:szCs w:val="22"/>
              </w:rPr>
              <w:t xml:space="preserve">Moderate hardness, low iron, manganese rising slightly after storms</w:t>
            </w:r>
          </w:p>
        </w:tc>
        <w:tc>
          <w:tcPr>
            <w:tcW w:type="dxa" w:w="2790"/>
            <w:tcMar>
              <w:top w:type="dxa" w:w="70"/>
              <w:left w:type="dxa" w:w="100"/>
              <w:bottom w:type="dxa" w:w="70"/>
              <w:right w:type="dxa" w:w="100"/>
            </w:tcMar>
            <w:vAlign w:val="top"/>
          </w:tcPr>
          <w:p>
            <w:pPr>
              <w:spacing w:after="0" w:line="252"/>
              <w:jc w:val="left"/>
            </w:pPr>
            <w:r>
              <w:rPr>
                <w:sz w:val="22"/>
                <w:szCs w:val="22"/>
              </w:rPr>
              <w:t xml:space="preserve">Moderate hardness, with manganese released from the anoxic bottom layer in late summer</w:t>
            </w:r>
          </w:p>
        </w:tc>
        <w:tc>
          <w:tcPr>
            <w:tcW w:type="dxa" w:w="2628"/>
            <w:tcMar>
              <w:top w:type="dxa" w:w="70"/>
              <w:left w:type="dxa" w:w="100"/>
              <w:bottom w:type="dxa" w:w="70"/>
              <w:right w:type="dxa" w:w="100"/>
            </w:tcMar>
            <w:vAlign w:val="top"/>
          </w:tcPr>
          <w:p>
            <w:pPr>
              <w:spacing w:after="0" w:line="252"/>
              <w:jc w:val="left"/>
            </w:pPr>
            <w:r>
              <w:rPr>
                <w:sz w:val="22"/>
                <w:szCs w:val="22"/>
              </w:rPr>
              <w:t xml:space="preserve">Hardness near 240 mg/L as calcium carbonate and iron near 1.6 mg/L in every sample</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Seasonal taste-and-odor risk</w:t>
            </w:r>
          </w:p>
        </w:tc>
        <w:tc>
          <w:tcPr>
            <w:tcW w:type="dxa" w:w="2800"/>
            <w:tcMar>
              <w:top w:type="dxa" w:w="70"/>
              <w:left w:type="dxa" w:w="100"/>
              <w:bottom w:type="dxa" w:w="70"/>
              <w:right w:type="dxa" w:w="100"/>
            </w:tcMar>
            <w:vAlign w:val="top"/>
          </w:tcPr>
          <w:p>
            <w:pPr>
              <w:spacing w:after="0" w:line="252"/>
              <w:jc w:val="left"/>
            </w:pPr>
            <w:r>
              <w:rPr>
                <w:sz w:val="22"/>
                <w:szCs w:val="22"/>
              </w:rPr>
              <w:t xml:space="preserve">Occasional, tied to upstream discharges after rain</w:t>
            </w:r>
          </w:p>
        </w:tc>
        <w:tc>
          <w:tcPr>
            <w:tcW w:type="dxa" w:w="2790"/>
            <w:tcMar>
              <w:top w:type="dxa" w:w="70"/>
              <w:left w:type="dxa" w:w="100"/>
              <w:bottom w:type="dxa" w:w="70"/>
              <w:right w:type="dxa" w:w="100"/>
            </w:tcMar>
            <w:vAlign w:val="top"/>
          </w:tcPr>
          <w:p>
            <w:pPr>
              <w:spacing w:after="0" w:line="252"/>
              <w:jc w:val="left"/>
            </w:pPr>
            <w:r>
              <w:rPr>
                <w:sz w:val="22"/>
                <w:szCs w:val="22"/>
              </w:rPr>
              <w:t xml:space="preserve">Predictable each August and September when blooms produce earthy compounds</w:t>
            </w:r>
          </w:p>
        </w:tc>
        <w:tc>
          <w:tcPr>
            <w:tcW w:type="dxa" w:w="2628"/>
            <w:tcMar>
              <w:top w:type="dxa" w:w="70"/>
              <w:left w:type="dxa" w:w="100"/>
              <w:bottom w:type="dxa" w:w="70"/>
              <w:right w:type="dxa" w:w="100"/>
            </w:tcMar>
            <w:vAlign w:val="top"/>
          </w:tcPr>
          <w:p>
            <w:pPr>
              <w:spacing w:after="0" w:line="252"/>
              <w:jc w:val="left"/>
            </w:pPr>
            <w:r>
              <w:rPr>
                <w:sz w:val="22"/>
                <w:szCs w:val="22"/>
              </w:rPr>
              <w:t xml:space="preserve">None from algae, though iron causes staining complaints</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Treatment barriers this source indicates</w:t>
            </w:r>
          </w:p>
        </w:tc>
        <w:tc>
          <w:tcPr>
            <w:tcW w:type="dxa" w:w="2800"/>
            <w:tcMar>
              <w:top w:type="dxa" w:w="70"/>
              <w:left w:type="dxa" w:w="100"/>
              <w:bottom w:type="dxa" w:w="70"/>
              <w:right w:type="dxa" w:w="100"/>
            </w:tcMar>
            <w:vAlign w:val="top"/>
          </w:tcPr>
          <w:p>
            <w:pPr>
              <w:spacing w:after="0" w:line="252"/>
              <w:jc w:val="left"/>
            </w:pPr>
            <w:r>
              <w:rPr>
                <w:sz w:val="22"/>
                <w:szCs w:val="22"/>
              </w:rPr>
              <w:t xml:space="preserve">Coagulation, flocculation, sedimentation, filtration, and disinfection, with dose control able to track fast turbidity swings</w:t>
            </w:r>
          </w:p>
        </w:tc>
        <w:tc>
          <w:tcPr>
            <w:tcW w:type="dxa" w:w="2790"/>
            <w:tcMar>
              <w:top w:type="dxa" w:w="70"/>
              <w:left w:type="dxa" w:w="100"/>
              <w:bottom w:type="dxa" w:w="70"/>
              <w:right w:type="dxa" w:w="100"/>
            </w:tcMar>
            <w:vAlign w:val="top"/>
          </w:tcPr>
          <w:p>
            <w:pPr>
              <w:spacing w:after="0" w:line="252"/>
              <w:jc w:val="left"/>
            </w:pPr>
            <w:r>
              <w:rPr>
                <w:sz w:val="22"/>
                <w:szCs w:val="22"/>
              </w:rPr>
              <w:t xml:space="preserve">The same barriers plus a seasonal powdered activated carbon feed and an intake that can draw from several depths</w:t>
            </w:r>
          </w:p>
        </w:tc>
        <w:tc>
          <w:tcPr>
            <w:tcW w:type="dxa" w:w="2628"/>
            <w:tcMar>
              <w:top w:type="dxa" w:w="70"/>
              <w:left w:type="dxa" w:w="100"/>
              <w:bottom w:type="dxa" w:w="70"/>
              <w:right w:type="dxa" w:w="100"/>
            </w:tcMar>
            <w:vAlign w:val="top"/>
          </w:tcPr>
          <w:p>
            <w:pPr>
              <w:spacing w:after="0" w:line="252"/>
              <w:jc w:val="left"/>
            </w:pPr>
            <w:r>
              <w:rPr>
                <w:sz w:val="22"/>
                <w:szCs w:val="22"/>
              </w:rPr>
              <w:t xml:space="preserve">Oxidation and filtration for iron and manganese, disinfection, and optional softening</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Quantity constraint on how much the town can take</w:t>
            </w:r>
          </w:p>
        </w:tc>
        <w:tc>
          <w:tcPr>
            <w:tcW w:type="dxa" w:w="2800"/>
            <w:tcMar>
              <w:top w:type="dxa" w:w="70"/>
              <w:left w:type="dxa" w:w="100"/>
              <w:bottom w:type="dxa" w:w="70"/>
              <w:right w:type="dxa" w:w="100"/>
            </w:tcMar>
            <w:vAlign w:val="top"/>
          </w:tcPr>
          <w:p>
            <w:pPr>
              <w:spacing w:after="0" w:line="252"/>
              <w:jc w:val="left"/>
            </w:pPr>
            <w:r>
              <w:rPr>
                <w:sz w:val="22"/>
                <w:szCs w:val="22"/>
              </w:rPr>
              <w:t xml:space="preserve">Limited during late-summer low flow, when the withdrawal permit caps the take</w:t>
            </w:r>
          </w:p>
        </w:tc>
        <w:tc>
          <w:tcPr>
            <w:tcW w:type="dxa" w:w="2790"/>
            <w:tcMar>
              <w:top w:type="dxa" w:w="70"/>
              <w:left w:type="dxa" w:w="100"/>
              <w:bottom w:type="dxa" w:w="70"/>
              <w:right w:type="dxa" w:w="100"/>
            </w:tcMar>
            <w:vAlign w:val="top"/>
          </w:tcPr>
          <w:p>
            <w:pPr>
              <w:spacing w:after="0" w:line="252"/>
              <w:jc w:val="left"/>
            </w:pPr>
            <w:r>
              <w:rPr>
                <w:sz w:val="22"/>
                <w:szCs w:val="22"/>
              </w:rPr>
              <w:t xml:space="preserve">Limited by storage volume carried through a dry year</w:t>
            </w:r>
          </w:p>
        </w:tc>
        <w:tc>
          <w:tcPr>
            <w:tcW w:type="dxa" w:w="2628"/>
            <w:tcMar>
              <w:top w:type="dxa" w:w="70"/>
              <w:left w:type="dxa" w:w="100"/>
              <w:bottom w:type="dxa" w:w="70"/>
              <w:right w:type="dxa" w:w="100"/>
            </w:tcMar>
            <w:vAlign w:val="top"/>
          </w:tcPr>
          <w:p>
            <w:pPr>
              <w:spacing w:after="0" w:line="252"/>
              <w:jc w:val="left"/>
            </w:pPr>
            <w:r>
              <w:rPr>
                <w:sz w:val="22"/>
                <w:szCs w:val="22"/>
              </w:rPr>
              <w:t xml:space="preserve">Limited by well yield and by the drawdown the aquifer will tolerate</w:t>
            </w:r>
          </w:p>
        </w:tc>
      </w:tr>
      <w:tr>
        <w:trPr>
          <w:cantSplit/>
        </w:trPr>
        <w:tc>
          <w:tcPr>
            <w:tcW w:type="dxa" w:w="1862"/>
            <w:tcMar>
              <w:top w:type="dxa" w:w="70"/>
              <w:left w:type="dxa" w:w="100"/>
              <w:bottom w:type="dxa" w:w="70"/>
              <w:right w:type="dxa" w:w="100"/>
            </w:tcMar>
            <w:vAlign w:val="top"/>
          </w:tcPr>
          <w:p>
            <w:pPr>
              <w:spacing w:after="0" w:line="252"/>
              <w:jc w:val="left"/>
            </w:pPr>
            <w:r>
              <w:rPr>
                <w:sz w:val="22"/>
                <w:szCs w:val="22"/>
              </w:rPr>
              <w:t xml:space="preserve">Largest design risk if this source is chosen</w:t>
            </w:r>
          </w:p>
        </w:tc>
        <w:tc>
          <w:tcPr>
            <w:tcW w:type="dxa" w:w="2800"/>
            <w:tcMar>
              <w:top w:type="dxa" w:w="70"/>
              <w:left w:type="dxa" w:w="100"/>
              <w:bottom w:type="dxa" w:w="70"/>
              <w:right w:type="dxa" w:w="100"/>
            </w:tcMar>
            <w:vAlign w:val="top"/>
          </w:tcPr>
          <w:p>
            <w:pPr>
              <w:spacing w:after="0" w:line="252"/>
              <w:jc w:val="left"/>
            </w:pPr>
            <w:r>
              <w:rPr>
                <w:sz w:val="22"/>
                <w:szCs w:val="22"/>
              </w:rPr>
              <w:t xml:space="preserve">A storm turbidity spike outrunning coagulant dose control and pushing filtered water above the turbidity target</w:t>
            </w:r>
          </w:p>
        </w:tc>
        <w:tc>
          <w:tcPr>
            <w:tcW w:type="dxa" w:w="2790"/>
            <w:tcMar>
              <w:top w:type="dxa" w:w="70"/>
              <w:left w:type="dxa" w:w="100"/>
              <w:bottom w:type="dxa" w:w="70"/>
              <w:right w:type="dxa" w:w="100"/>
            </w:tcMar>
            <w:vAlign w:val="top"/>
          </w:tcPr>
          <w:p>
            <w:pPr>
              <w:spacing w:after="0" w:line="252"/>
              <w:jc w:val="left"/>
            </w:pPr>
            <w:r>
              <w:rPr>
                <w:sz w:val="22"/>
                <w:szCs w:val="22"/>
              </w:rPr>
              <w:t xml:space="preserve">A bloom season that arrives earlier or lasts longer than the carbon feed was sized for</w:t>
            </w:r>
          </w:p>
        </w:tc>
        <w:tc>
          <w:tcPr>
            <w:tcW w:type="dxa" w:w="2628"/>
            <w:tcMar>
              <w:top w:type="dxa" w:w="70"/>
              <w:left w:type="dxa" w:w="100"/>
              <w:bottom w:type="dxa" w:w="70"/>
              <w:right w:type="dxa" w:w="100"/>
            </w:tcMar>
            <w:vAlign w:val="top"/>
          </w:tcPr>
          <w:p>
            <w:pPr>
              <w:spacing w:after="0" w:line="252"/>
              <w:jc w:val="left"/>
            </w:pPr>
            <w:r>
              <w:rPr>
                <w:sz w:val="22"/>
                <w:szCs w:val="22"/>
              </w:rPr>
              <w:t xml:space="preserve">A wellfield that cannot grow with the town, plus steady customer complaints about hardness</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Source Waters for Cardimore: A Treatment Selection Frame</dc:title>
  <dc:subject>Graphic organizer · Grade 11 · Engineering &amp; Design</dc:subject>
  <dc:creator>Water for Schools</dc:creator>
  <cp:keywords>Graphic organizer, Grade 11, Engineering &amp; Design</cp:keywords>
  <dc:description>A grade 11 three-column organizer comparing a river, a reservoir, and a sandstone aquifer across nine design criteria, with a completed exemplar for teachers.</dc:description>
  <cp:lastModifiedBy>Water for Schools</cp:lastModifiedBy>
  <cp:revision>1</cp:revision>
  <dcterms:created xsi:type="dcterms:W3CDTF">2026-10-19T16:29:02.188Z</dcterms:created>
  <dcterms:modified xsi:type="dcterms:W3CDTF">2026-10-19T16:29:02.188Z</dcterms:modified>
</cp:coreProperties>
</file>

<file path=docProps/custom.xml><?xml version="1.0" encoding="utf-8"?>
<Properties xmlns="http://schemas.openxmlformats.org/officeDocument/2006/custom-properties" xmlns:vt="http://schemas.openxmlformats.org/officeDocument/2006/docPropsVTypes"/>
</file>