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Cedar Hollow's Water Report: Calculating the Summary Numbers</w:t>
      </w:r>
    </w:p>
    <w:p>
      <w:pPr>
        <w:keepNext/>
        <w:spacing w:after="160"/>
      </w:pPr>
      <w:r>
        <w:rPr>
          <w:color w:val="5B6B70"/>
          <w:sz w:val="20"/>
          <w:szCs w:val="20"/>
        </w:rPr>
        <w:t xml:space="preserve">Worksheet · Grade 10 · Health &amp; Consumer Science</w:t>
      </w:r>
    </w:p>
    <w:p>
      <w:pPr>
        <w:spacing w:after="100" w:line="264"/>
      </w:pPr>
      <w:r>
        <w:rPr>
          <w:i/>
          <w:iCs/>
          <w:color w:val="12333F"/>
          <w:sz w:val="22"/>
          <w:szCs w:val="22"/>
        </w:rPr>
        <w:t xml:space="preserve">A grade 10 worksheet in which students rebuild a fictional town's water report from raw lead, chlorine and turbidity data, then judge each result by its rule.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a 90th-percentile lead result, a running annual average chlorine residual, and a monthly turbidity percentage from raw monitoring data.</w:t>
      </w:r>
    </w:p>
    <w:p>
      <w:pPr>
        <w:pStyle w:val="ListParagraph"/>
        <w:keepNext/>
        <w:keepLines/>
        <w:numPr>
          <w:ilvl w:val="0"/>
          <w:numId w:val="2"/>
        </w:numPr>
        <w:spacing w:after="60" w:line="264"/>
        <w:ind w:left="720" w:hanging="360"/>
      </w:pPr>
      <w:r>
        <w:rPr>
          <w:sz w:val="22"/>
          <w:szCs w:val="22"/>
        </w:rPr>
        <w:t xml:space="preserve">Students will explain how each standard is judged and why a single high reading is not always a violation.</w:t>
      </w:r>
    </w:p>
    <w:p>
      <w:pPr>
        <w:pStyle w:val="ListParagraph"/>
        <w:keepLines/>
        <w:numPr>
          <w:ilvl w:val="0"/>
          <w:numId w:val="2"/>
        </w:numPr>
        <w:spacing w:after="60" w:line="264"/>
        <w:ind w:left="720" w:hanging="360"/>
      </w:pPr>
      <w:r>
        <w:rPr>
          <w:sz w:val="22"/>
          <w:szCs w:val="22"/>
        </w:rPr>
        <w:t xml:space="preserve">Students will distinguish health-based standards from an aesthetic secondary standard in a water report.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HSN-Q.A.2 (Common Core Math)</w:t>
      </w:r>
      <w:r>
        <w:rPr>
          <w:sz w:val="22"/>
          <w:szCs w:val="22"/>
        </w:rPr>
        <w:t xml:space="preserve">: Define appropriate quantities for the purpose of descriptive modeling.</w:t>
      </w:r>
    </w:p>
    <w:p>
      <w:pPr>
        <w:spacing w:after="100" w:line="264"/>
        <w:ind w:left="360"/>
      </w:pPr>
      <w:r>
        <w:rPr>
          <w:i/>
          <w:iCs/>
          <w:color w:val="5B6B70"/>
          <w:sz w:val="20"/>
          <w:szCs w:val="20"/>
        </w:rPr>
        <w:t xml:space="preserve">How this material addresses it: Items 1, 4, 5, 7 and 10 have students compute the specific quantities a regulation defines for judging compliance (a 90th-percentile tap result, a running annual average, and a monthly percentage of readings at or below the turbidity target) and explain in item 4 why the lead rule uses the 90th percentile rather than the mean.</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Students carry ppb, mg/L and NTU through every comparison to a standard, and in item 12 convert the chlorine average from mg/L to ppb to show why numbers in different units cannot be compared directly.</w:t>
      </w:r>
    </w:p>
    <w:p>
      <w:pPr>
        <w:pStyle w:val="Heading2"/>
        <w:keepNext/>
        <w:keepLines/>
      </w:pPr>
      <w:r>
        <w:rPr>
          <w:sz w:val="28"/>
          <w:szCs w:val="28"/>
        </w:rPr>
        <w:t xml:space="preserve">Vocabulary</w:t>
      </w:r>
    </w:p>
    <w:p>
      <w:pPr>
        <w:keepNext/>
        <w:spacing w:after="80" w:line="264"/>
      </w:pPr>
      <w:r>
        <w:rPr>
          <w:b/>
          <w:bCs/>
          <w:sz w:val="22"/>
          <w:szCs w:val="22"/>
        </w:rPr>
        <w:t xml:space="preserve">Action level</w:t>
      </w:r>
      <w:r>
        <w:rPr>
          <w:sz w:val="22"/>
          <w:szCs w:val="22"/>
        </w:rPr>
        <w:t xml:space="preserve">: A trigger number in lead and copper testing. If too many homes test above this level, the utility must take steps like improving treatment and telling the public.</w:t>
      </w:r>
    </w:p>
    <w:p>
      <w:pPr>
        <w:keepNext/>
        <w:spacing w:after="80" w:line="264"/>
      </w:pPr>
      <w:r>
        <w:rPr>
          <w:b/>
          <w:bCs/>
          <w:sz w:val="22"/>
          <w:szCs w:val="22"/>
        </w:rPr>
        <w:t xml:space="preserve">Maximum contaminant level goal (MCLG)</w:t>
      </w:r>
      <w:r>
        <w:rPr>
          <w:sz w:val="22"/>
          <w:szCs w:val="22"/>
        </w:rPr>
        <w:t xml:space="preserve">: The level of a contaminant in drinking water below which no harm to health is expected. It is a goal, not a legal limit, and for some chemicals the goal is zero.</w:t>
      </w:r>
    </w:p>
    <w:p>
      <w:pPr>
        <w:keepNext/>
        <w:spacing w:after="80" w:line="264"/>
      </w:pPr>
      <w:r>
        <w:rPr>
          <w:b/>
          <w:bCs/>
          <w:sz w:val="22"/>
          <w:szCs w:val="22"/>
        </w:rPr>
        <w:t xml:space="preserve">Turbidity</w:t>
      </w:r>
      <w:r>
        <w:rPr>
          <w:sz w:val="22"/>
          <w:szCs w:val="22"/>
        </w:rPr>
        <w:t xml:space="preserve">: Turbidity is a measure of how cloudy or murky water looks because of tiny particles floating in it. Clear water has low turbidity, and muddy water has high turbidity.</w:t>
      </w:r>
    </w:p>
    <w:p>
      <w:pPr>
        <w:spacing w:after="100" w:line="264"/>
      </w:pPr>
      <w:r>
        <w:rPr>
          <w:b/>
          <w:bCs/>
          <w:sz w:val="22"/>
          <w:szCs w:val="22"/>
        </w:rPr>
        <w:t xml:space="preserve">Also: </w:t>
      </w:r>
      <w:r>
        <w:rPr>
          <w:sz w:val="22"/>
          <w:szCs w:val="22"/>
        </w:rPr>
        <w:t xml:space="preserve">Consumer Confidence Report, 90th percentile, maximum residual disinfectant level, running annual average, secondary standard</w:t>
      </w:r>
    </w:p>
    <w:p>
      <w:pPr>
        <w:pStyle w:val="Heading2"/>
        <w:keepNext/>
        <w:keepLines/>
      </w:pPr>
      <w:r>
        <w:rPr>
          <w:sz w:val="28"/>
          <w:szCs w:val="28"/>
        </w:rPr>
        <w:t xml:space="preserve">Teacher overview</w:t>
      </w:r>
    </w:p>
    <w:p>
      <w:pPr>
        <w:spacing w:after="100" w:line="264"/>
      </w:pPr>
      <w:r>
        <w:rPr>
          <w:sz w:val="22"/>
          <w:szCs w:val="22"/>
        </w:rPr>
        <w:t xml:space="preserve">The single number printed beside each item in an annual water report is usually a summary of many samples, and each federal standard is judged on a particular summary: lead on the 90th-percentile home tap result, the chlorine limit on a running annual average, and turbidity on the share of each month's readings that stay low. In this worksheet students receive a draft of the fictional Cedar Hollow utility's report with the summary cells left blank, together with the raw monitoring data behind it. They calculate each summary value, decide whether each standard was met, and explain why one high reading can appear in the data without being a violation. The lead results meet today's action level but would not meet the stricter level that takes effect in 2027, which gives students a reason to read the report closely rather than stop at "standard met."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rank strip numbered 1 to 20 for sorting the lead results, and work the March turbidity percentage in item 10 together as a model before students do June and July. A calculator is appropriate for items 4, 7, 10 and 11. Students may answer item 14 with a sentence frame that lists what each sentence must contain.</w:t>
      </w:r>
    </w:p>
    <w:p>
      <w:pPr>
        <w:pStyle w:val="Heading3"/>
        <w:keepNext/>
        <w:keepLines/>
      </w:pPr>
      <w:r>
        <w:rPr>
          <w:sz w:val="24"/>
          <w:szCs w:val="24"/>
        </w:rPr>
        <w:t xml:space="preserve">Extension</w:t>
      </w:r>
    </w:p>
    <w:p>
      <w:pPr>
        <w:spacing w:after="100" w:line="264"/>
      </w:pPr>
      <w:r>
        <w:rPr>
          <w:sz w:val="22"/>
          <w:szCs w:val="22"/>
        </w:rPr>
        <w:t xml:space="preserve">Suppose the fictional utility replaces the lead service line at site A5 and a retest there reads 3 ppb. Students recalculate the 90th-percentile value (it becomes 10 ppb) and decide whether that result would exceed the 2027 action level. It would not, because the action level is exceeded only when the value is greater than 10 ppb, and students should explain why a value exactly at the level is still close enough to keep watching. Students can also calculate the running annual average for March 2026 if January to March 2026 monthly averages are 1.1, 1.2 and 1.3 mg/L in this fictional scenario: replacing January to March 2025 gives (18.0 - 3.3 + 3.6) ÷ 12 = 1.525, or about 1.53 mg/L.</w:t>
      </w:r>
    </w:p>
    <w:p>
      <w:pPr>
        <w:pStyle w:val="Heading3"/>
        <w:keepNext/>
        <w:keepLines/>
      </w:pPr>
      <w:r>
        <w:rPr>
          <w:sz w:val="24"/>
          <w:szCs w:val="24"/>
        </w:rPr>
        <w:t xml:space="preserve">ELL supports</w:t>
      </w:r>
    </w:p>
    <w:p>
      <w:pPr>
        <w:spacing w:after="100" w:line="264"/>
      </w:pPr>
      <w:r>
        <w:rPr>
          <w:sz w:val="22"/>
          <w:szCs w:val="22"/>
        </w:rPr>
        <w:t xml:space="preserve">Pre-teach "percentile," "average," "residual," "turbidity," "action level" and "violation" with short definitions, and show a number line from 0 to 30 ppb with the 20 lead results marked as dots and the 10 and 15 ppb levels drawn as lines. Allow students to answer items 6, 8 and 13 with short phrases or a labeled diagram, and provide the sentence frame "The ___ standard is judged by ___, so ___" for items 8 and 14.</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Cedar Hollow's Water Report: Calculating the Summary Numbers</w:t>
      </w:r>
    </w:p>
    <w:p>
      <w:pPr>
        <w:keepNext/>
        <w:spacing w:after="160"/>
      </w:pPr>
      <w:r>
        <w:rPr>
          <w:color w:val="5B6B70"/>
          <w:sz w:val="20"/>
          <w:szCs w:val="20"/>
        </w:rPr>
        <w:t xml:space="preserve">Grade 10 · Health &amp; Consumer Science</w:t>
      </w:r>
    </w:p>
    <w:p>
      <w:pPr>
        <w:pStyle w:val="Heading2"/>
        <w:keepNext/>
        <w:keepLines/>
      </w:pPr>
      <w:r>
        <w:rPr>
          <w:sz w:val="28"/>
          <w:szCs w:val="28"/>
        </w:rPr>
        <w:t xml:space="preserve">Student Worksheet</w:t>
      </w:r>
    </w:p>
    <w:p>
      <w:pPr>
        <w:spacing w:after="120" w:line="276"/>
      </w:pPr>
      <w:r>
        <w:rPr>
          <w:sz w:val="22"/>
          <w:szCs w:val="22"/>
        </w:rPr>
        <w:t xml:space="preserve">Cedar Hollow is a fictional town whose utility treats river water at a conventional filtration plant. The utility is preparing its report on calendar year 2025 and has left several cells blank. All of the data below are invented for this exercise; the standards and the ways they are judged are the real federal rules. Use the Source packet to answer the items that follow it.</w:t>
      </w:r>
    </w:p>
    <w:p>
      <w:pPr>
        <w:pStyle w:val="Heading3"/>
        <w:keepNext/>
        <w:keepLines/>
      </w:pPr>
      <w:r>
        <w:rPr>
          <w:sz w:val="24"/>
          <w:szCs w:val="24"/>
        </w:rPr>
        <w:t xml:space="preserve">Source packet</w:t>
      </w:r>
    </w:p>
    <w:p>
      <w:pPr>
        <w:keepNext/>
        <w:keepLines/>
        <w:spacing w:after="120" w:line="276"/>
      </w:pPr>
      <w:r>
        <w:rPr>
          <w:b/>
          <w:bCs/>
          <w:sz w:val="22"/>
          <w:szCs w:val="22"/>
        </w:rPr>
        <w:t xml:space="preserve">Document 1. Draft report table, Cedar Hollow Water Utility, 2025 results.</w:t>
      </w:r>
      <w:r>
        <w:rPr>
          <w:sz w:val="22"/>
          <w:szCs w:val="22"/>
        </w:rPr>
        <w:t xml:space="preserve"> Letters (a) to (i) mark the cells you will fill in.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300"/>
        <w:gridCol w:w="3870"/>
        <w:gridCol w:w="1778"/>
        <w:gridCol w:w="1415"/>
        <w:gridCol w:w="1717"/>
      </w:tblGrid>
      <w:tr>
        <w:trPr>
          <w:cantSplit/>
          <w:tblHeader/>
        </w:trPr>
        <w:tc>
          <w:tcPr>
            <w:tcW w:type="dxa" w:w="130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Item</w:t>
            </w:r>
          </w:p>
        </w:tc>
        <w:tc>
          <w:tcPr>
            <w:tcW w:type="dxa" w:w="387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Federal standard and how it is judged</w:t>
            </w:r>
          </w:p>
        </w:tc>
        <w:tc>
          <w:tcPr>
            <w:tcW w:type="dxa" w:w="177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Cedar Hollow summary result</w:t>
            </w:r>
          </w:p>
        </w:tc>
        <w:tc>
          <w:tcPr>
            <w:tcW w:type="dxa" w:w="141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Detail</w:t>
            </w:r>
          </w:p>
        </w:tc>
        <w:tc>
          <w:tcPr>
            <w:tcW w:type="dxa" w:w="171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Standard met?</w:t>
            </w:r>
          </w:p>
        </w:tc>
      </w:tr>
      <w:tr>
        <w:trPr>
          <w:cantSplit/>
        </w:trPr>
        <w:tc>
          <w:tcPr>
            <w:tcW w:type="dxa" w:w="1300"/>
            <w:tcMar>
              <w:top w:type="dxa" w:w="70"/>
              <w:left w:type="dxa" w:w="100"/>
              <w:bottom w:type="dxa" w:w="70"/>
              <w:right w:type="dxa" w:w="100"/>
            </w:tcMar>
            <w:vAlign w:val="top"/>
          </w:tcPr>
          <w:p>
            <w:pPr>
              <w:keepNext/>
              <w:spacing w:after="0" w:line="252"/>
              <w:jc w:val="left"/>
            </w:pPr>
            <w:r>
              <w:rPr>
                <w:sz w:val="20"/>
                <w:szCs w:val="20"/>
              </w:rPr>
              <w:t xml:space="preserve">Lead (ppb)</w:t>
            </w:r>
          </w:p>
        </w:tc>
        <w:tc>
          <w:tcPr>
            <w:tcW w:type="dxa" w:w="3870"/>
            <w:tcMar>
              <w:top w:type="dxa" w:w="70"/>
              <w:left w:type="dxa" w:w="100"/>
              <w:bottom w:type="dxa" w:w="70"/>
              <w:right w:type="dxa" w:w="100"/>
            </w:tcMar>
            <w:vAlign w:val="top"/>
          </w:tcPr>
          <w:p>
            <w:pPr>
              <w:keepNext/>
              <w:spacing w:after="0" w:line="252"/>
              <w:jc w:val="left"/>
            </w:pPr>
            <w:r>
              <w:rPr>
                <w:sz w:val="20"/>
                <w:szCs w:val="20"/>
              </w:rPr>
              <w:t xml:space="preserve">Goal (MCLG): 0 ppb. Action level: 15 ppb, compared with the 90th-percentile home tap result (10 ppb starting in 2027)</w:t>
            </w:r>
          </w:p>
        </w:tc>
        <w:tc>
          <w:tcPr>
            <w:tcW w:type="dxa" w:w="1778"/>
            <w:tcMar>
              <w:top w:type="dxa" w:w="70"/>
              <w:left w:type="dxa" w:w="100"/>
              <w:bottom w:type="dxa" w:w="70"/>
              <w:right w:type="dxa" w:w="100"/>
            </w:tcMar>
            <w:vAlign w:val="top"/>
          </w:tcPr>
          <w:p>
            <w:pPr>
              <w:keepNext/>
              <w:spacing w:after="0" w:line="252"/>
              <w:jc w:val="left"/>
            </w:pPr>
            <w:r>
              <w:rPr>
                <w:sz w:val="20"/>
                <w:szCs w:val="20"/>
              </w:rPr>
              <w:t xml:space="preserve">90th percentile: (a)</w:t>
            </w:r>
          </w:p>
        </w:tc>
        <w:tc>
          <w:tcPr>
            <w:tcW w:type="dxa" w:w="1415"/>
            <w:tcMar>
              <w:top w:type="dxa" w:w="70"/>
              <w:left w:type="dxa" w:w="100"/>
              <w:bottom w:type="dxa" w:w="70"/>
              <w:right w:type="dxa" w:w="100"/>
            </w:tcMar>
            <w:vAlign w:val="top"/>
          </w:tcPr>
          <w:p>
            <w:pPr>
              <w:keepNext/>
              <w:spacing w:after="0" w:line="252"/>
              <w:jc w:val="left"/>
            </w:pPr>
            <w:r>
              <w:rPr>
                <w:sz w:val="20"/>
                <w:szCs w:val="20"/>
              </w:rPr>
              <w:t xml:space="preserve">Sites above 15 ppb: (b) of 20</w:t>
            </w:r>
          </w:p>
        </w:tc>
        <w:tc>
          <w:tcPr>
            <w:tcW w:type="dxa" w:w="1717"/>
            <w:tcMar>
              <w:top w:type="dxa" w:w="70"/>
              <w:left w:type="dxa" w:w="100"/>
              <w:bottom w:type="dxa" w:w="70"/>
              <w:right w:type="dxa" w:w="100"/>
            </w:tcMar>
            <w:vAlign w:val="top"/>
          </w:tcPr>
          <w:p>
            <w:pPr>
              <w:keepNext/>
              <w:spacing w:after="0" w:line="252"/>
              <w:jc w:val="left"/>
            </w:pPr>
            <w:r>
              <w:rPr>
                <w:sz w:val="20"/>
                <w:szCs w:val="20"/>
              </w:rPr>
              <w:t xml:space="preserve">(c)</w:t>
            </w:r>
          </w:p>
        </w:tc>
      </w:tr>
      <w:tr>
        <w:trPr>
          <w:cantSplit/>
        </w:trPr>
        <w:tc>
          <w:tcPr>
            <w:tcW w:type="dxa" w:w="1300"/>
            <w:tcMar>
              <w:top w:type="dxa" w:w="70"/>
              <w:left w:type="dxa" w:w="100"/>
              <w:bottom w:type="dxa" w:w="70"/>
              <w:right w:type="dxa" w:w="100"/>
            </w:tcMar>
            <w:vAlign w:val="top"/>
          </w:tcPr>
          <w:p>
            <w:pPr>
              <w:keepNext/>
              <w:spacing w:after="0" w:line="252"/>
              <w:jc w:val="left"/>
            </w:pPr>
            <w:r>
              <w:rPr>
                <w:sz w:val="20"/>
                <w:szCs w:val="20"/>
              </w:rPr>
              <w:t xml:space="preserve">Chlorine residual (mg/L)</w:t>
            </w:r>
          </w:p>
        </w:tc>
        <w:tc>
          <w:tcPr>
            <w:tcW w:type="dxa" w:w="3870"/>
            <w:tcMar>
              <w:top w:type="dxa" w:w="70"/>
              <w:left w:type="dxa" w:w="100"/>
              <w:bottom w:type="dxa" w:w="70"/>
              <w:right w:type="dxa" w:w="100"/>
            </w:tcMar>
            <w:vAlign w:val="top"/>
          </w:tcPr>
          <w:p>
            <w:pPr>
              <w:keepNext/>
              <w:spacing w:after="0" w:line="252"/>
              <w:jc w:val="left"/>
            </w:pPr>
            <w:r>
              <w:rPr>
                <w:sz w:val="20"/>
                <w:szCs w:val="20"/>
              </w:rPr>
              <w:t xml:space="preserve">Maximum residual disinfectant level (MRDL): 4.0 mg/L, judged on the running annual average of monthly averages</w:t>
            </w:r>
          </w:p>
        </w:tc>
        <w:tc>
          <w:tcPr>
            <w:tcW w:type="dxa" w:w="1778"/>
            <w:tcMar>
              <w:top w:type="dxa" w:w="70"/>
              <w:left w:type="dxa" w:w="100"/>
              <w:bottom w:type="dxa" w:w="70"/>
              <w:right w:type="dxa" w:w="100"/>
            </w:tcMar>
            <w:vAlign w:val="top"/>
          </w:tcPr>
          <w:p>
            <w:pPr>
              <w:keepNext/>
              <w:spacing w:after="0" w:line="252"/>
              <w:jc w:val="left"/>
            </w:pPr>
            <w:r>
              <w:rPr>
                <w:sz w:val="20"/>
                <w:szCs w:val="20"/>
              </w:rPr>
              <w:t xml:space="preserve">Running annual average: (d)</w:t>
            </w:r>
          </w:p>
        </w:tc>
        <w:tc>
          <w:tcPr>
            <w:tcW w:type="dxa" w:w="1415"/>
            <w:tcMar>
              <w:top w:type="dxa" w:w="70"/>
              <w:left w:type="dxa" w:w="100"/>
              <w:bottom w:type="dxa" w:w="70"/>
              <w:right w:type="dxa" w:w="100"/>
            </w:tcMar>
            <w:vAlign w:val="top"/>
          </w:tcPr>
          <w:p>
            <w:pPr>
              <w:keepNext/>
              <w:spacing w:after="0" w:line="252"/>
              <w:jc w:val="left"/>
            </w:pPr>
            <w:r>
              <w:rPr>
                <w:sz w:val="20"/>
                <w:szCs w:val="20"/>
              </w:rPr>
              <w:t xml:space="preserve">Range of monthly averages: (e)</w:t>
            </w:r>
          </w:p>
        </w:tc>
        <w:tc>
          <w:tcPr>
            <w:tcW w:type="dxa" w:w="1717"/>
            <w:tcMar>
              <w:top w:type="dxa" w:w="70"/>
              <w:left w:type="dxa" w:w="100"/>
              <w:bottom w:type="dxa" w:w="70"/>
              <w:right w:type="dxa" w:w="100"/>
            </w:tcMar>
            <w:vAlign w:val="top"/>
          </w:tcPr>
          <w:p>
            <w:pPr>
              <w:keepNext/>
              <w:spacing w:after="0" w:line="252"/>
              <w:jc w:val="left"/>
            </w:pPr>
            <w:r>
              <w:rPr>
                <w:sz w:val="20"/>
                <w:szCs w:val="20"/>
              </w:rPr>
              <w:t xml:space="preserve">(f)</w:t>
            </w:r>
          </w:p>
        </w:tc>
      </w:tr>
      <w:tr>
        <w:trPr>
          <w:cantSplit/>
        </w:trPr>
        <w:tc>
          <w:tcPr>
            <w:tcW w:type="dxa" w:w="1300"/>
            <w:tcMar>
              <w:top w:type="dxa" w:w="70"/>
              <w:left w:type="dxa" w:w="100"/>
              <w:bottom w:type="dxa" w:w="70"/>
              <w:right w:type="dxa" w:w="100"/>
            </w:tcMar>
            <w:vAlign w:val="top"/>
          </w:tcPr>
          <w:p>
            <w:pPr>
              <w:keepNext/>
              <w:spacing w:after="0" w:line="252"/>
              <w:jc w:val="left"/>
            </w:pPr>
            <w:r>
              <w:rPr>
                <w:sz w:val="20"/>
                <w:szCs w:val="20"/>
              </w:rPr>
              <w:t xml:space="preserve">Turbidity (NTU)</w:t>
            </w:r>
          </w:p>
        </w:tc>
        <w:tc>
          <w:tcPr>
            <w:tcW w:type="dxa" w:w="3870"/>
            <w:tcMar>
              <w:top w:type="dxa" w:w="70"/>
              <w:left w:type="dxa" w:w="100"/>
              <w:bottom w:type="dxa" w:w="70"/>
              <w:right w:type="dxa" w:w="100"/>
            </w:tcMar>
            <w:vAlign w:val="top"/>
          </w:tcPr>
          <w:p>
            <w:pPr>
              <w:keepNext/>
              <w:spacing w:after="0" w:line="252"/>
              <w:jc w:val="left"/>
            </w:pPr>
            <w:r>
              <w:rPr>
                <w:sz w:val="20"/>
                <w:szCs w:val="20"/>
              </w:rPr>
              <w:t xml:space="preserve">At or below 0.3 NTU in at least 95% of each month's readings; no reading above 1 NTU</w:t>
            </w:r>
          </w:p>
        </w:tc>
        <w:tc>
          <w:tcPr>
            <w:tcW w:type="dxa" w:w="1778"/>
            <w:tcMar>
              <w:top w:type="dxa" w:w="70"/>
              <w:left w:type="dxa" w:w="100"/>
              <w:bottom w:type="dxa" w:w="70"/>
              <w:right w:type="dxa" w:w="100"/>
            </w:tcMar>
            <w:vAlign w:val="top"/>
          </w:tcPr>
          <w:p>
            <w:pPr>
              <w:keepNext/>
              <w:spacing w:after="0" w:line="252"/>
              <w:jc w:val="left"/>
            </w:pPr>
            <w:r>
              <w:rPr>
                <w:sz w:val="20"/>
                <w:szCs w:val="20"/>
              </w:rPr>
              <w:t xml:space="preserve">Lowest monthly percentage at or below 0.3 NTU: (g)</w:t>
            </w:r>
          </w:p>
        </w:tc>
        <w:tc>
          <w:tcPr>
            <w:tcW w:type="dxa" w:w="1415"/>
            <w:tcMar>
              <w:top w:type="dxa" w:w="70"/>
              <w:left w:type="dxa" w:w="100"/>
              <w:bottom w:type="dxa" w:w="70"/>
              <w:right w:type="dxa" w:w="100"/>
            </w:tcMar>
            <w:vAlign w:val="top"/>
          </w:tcPr>
          <w:p>
            <w:pPr>
              <w:keepNext/>
              <w:spacing w:after="0" w:line="252"/>
              <w:jc w:val="left"/>
            </w:pPr>
            <w:r>
              <w:rPr>
                <w:sz w:val="20"/>
                <w:szCs w:val="20"/>
              </w:rPr>
              <w:t xml:space="preserve">Highest single reading: (h)</w:t>
            </w:r>
          </w:p>
        </w:tc>
        <w:tc>
          <w:tcPr>
            <w:tcW w:type="dxa" w:w="1717"/>
            <w:tcMar>
              <w:top w:type="dxa" w:w="70"/>
              <w:left w:type="dxa" w:w="100"/>
              <w:bottom w:type="dxa" w:w="70"/>
              <w:right w:type="dxa" w:w="100"/>
            </w:tcMar>
            <w:vAlign w:val="top"/>
          </w:tcPr>
          <w:p>
            <w:pPr>
              <w:keepNext/>
              <w:spacing w:after="0" w:line="252"/>
              <w:jc w:val="left"/>
            </w:pPr>
            <w:r>
              <w:rPr>
                <w:sz w:val="20"/>
                <w:szCs w:val="20"/>
              </w:rPr>
              <w:t xml:space="preserve">(i)</w:t>
            </w:r>
          </w:p>
        </w:tc>
      </w:tr>
      <w:tr>
        <w:trPr>
          <w:cantSplit/>
        </w:trPr>
        <w:tc>
          <w:tcPr>
            <w:tcW w:type="dxa" w:w="1300"/>
            <w:tcMar>
              <w:top w:type="dxa" w:w="70"/>
              <w:left w:type="dxa" w:w="100"/>
              <w:bottom w:type="dxa" w:w="70"/>
              <w:right w:type="dxa" w:w="100"/>
            </w:tcMar>
            <w:vAlign w:val="top"/>
          </w:tcPr>
          <w:p>
            <w:pPr>
              <w:spacing w:after="0" w:line="252"/>
              <w:jc w:val="left"/>
            </w:pPr>
            <w:r>
              <w:rPr>
                <w:sz w:val="20"/>
                <w:szCs w:val="20"/>
              </w:rPr>
              <w:t xml:space="preserve">pH (secondary standard)</w:t>
            </w:r>
          </w:p>
        </w:tc>
        <w:tc>
          <w:tcPr>
            <w:tcW w:type="dxa" w:w="3870"/>
            <w:tcMar>
              <w:top w:type="dxa" w:w="70"/>
              <w:left w:type="dxa" w:w="100"/>
              <w:bottom w:type="dxa" w:w="70"/>
              <w:right w:type="dxa" w:w="100"/>
            </w:tcMar>
            <w:vAlign w:val="top"/>
          </w:tcPr>
          <w:p>
            <w:pPr>
              <w:spacing w:after="0" w:line="252"/>
              <w:jc w:val="left"/>
            </w:pPr>
            <w:r>
              <w:rPr>
                <w:sz w:val="20"/>
                <w:szCs w:val="20"/>
              </w:rPr>
              <w:t xml:space="preserve">6.5 to 8.5, an aesthetic guideline</w:t>
            </w:r>
          </w:p>
        </w:tc>
        <w:tc>
          <w:tcPr>
            <w:tcW w:type="dxa" w:w="1778"/>
            <w:tcMar>
              <w:top w:type="dxa" w:w="70"/>
              <w:left w:type="dxa" w:w="100"/>
              <w:bottom w:type="dxa" w:w="70"/>
              <w:right w:type="dxa" w:w="100"/>
            </w:tcMar>
            <w:vAlign w:val="top"/>
          </w:tcPr>
          <w:p>
            <w:pPr>
              <w:spacing w:after="0" w:line="252"/>
              <w:jc w:val="left"/>
            </w:pPr>
            <w:r>
              <w:rPr>
                <w:sz w:val="20"/>
                <w:szCs w:val="20"/>
              </w:rPr>
              <w:t xml:space="preserve">Average 7.3</w:t>
            </w:r>
          </w:p>
        </w:tc>
        <w:tc>
          <w:tcPr>
            <w:tcW w:type="dxa" w:w="1415"/>
            <w:tcMar>
              <w:top w:type="dxa" w:w="70"/>
              <w:left w:type="dxa" w:w="100"/>
              <w:bottom w:type="dxa" w:w="70"/>
              <w:right w:type="dxa" w:w="100"/>
            </w:tcMar>
            <w:vAlign w:val="top"/>
          </w:tcPr>
          <w:p>
            <w:pPr>
              <w:spacing w:after="0" w:line="252"/>
              <w:jc w:val="left"/>
            </w:pPr>
            <w:r>
              <w:rPr>
                <w:sz w:val="20"/>
                <w:szCs w:val="20"/>
              </w:rPr>
              <w:t xml:space="preserve">6.9 to 7.7</w:t>
            </w:r>
          </w:p>
        </w:tc>
        <w:tc>
          <w:tcPr>
            <w:tcW w:type="dxa" w:w="1717"/>
            <w:tcMar>
              <w:top w:type="dxa" w:w="70"/>
              <w:left w:type="dxa" w:w="100"/>
              <w:bottom w:type="dxa" w:w="70"/>
              <w:right w:type="dxa" w:w="100"/>
            </w:tcMar>
            <w:vAlign w:val="top"/>
          </w:tcPr>
          <w:p>
            <w:pPr>
              <w:spacing w:after="0" w:line="252"/>
              <w:jc w:val="left"/>
            </w:pPr>
            <w:r>
              <w:rPr>
                <w:sz w:val="20"/>
                <w:szCs w:val="20"/>
              </w:rPr>
              <w:t xml:space="preserve">Within range</w:t>
            </w:r>
          </w:p>
        </w:tc>
      </w:tr>
    </w:tbl>
    <w:p>
      <w:pPr>
        <w:spacing w:after="160" w:before="0"/>
      </w:pPr>
    </w:p>
    <w:p>
      <w:pPr>
        <w:keepNext/>
        <w:keepLines/>
        <w:spacing w:after="120" w:line="276"/>
      </w:pPr>
      <w:r>
        <w:rPr>
          <w:b/>
          <w:bCs/>
          <w:sz w:val="22"/>
          <w:szCs w:val="22"/>
        </w:rPr>
        <w:t xml:space="preserve">Document 2. Lead results from 20 home taps sampled in 2025 (first water drawn after the water sat unused overnight).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440"/>
        <w:gridCol w:w="3600"/>
        <w:gridCol w:w="1440"/>
        <w:gridCol w:w="3600"/>
      </w:tblGrid>
      <w:tr>
        <w:trPr>
          <w:cantSplit/>
          <w:tblHeader/>
        </w:trPr>
        <w:tc>
          <w:tcPr>
            <w:tcW w:type="dxa" w:w="144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Site</w:t>
            </w:r>
          </w:p>
        </w:tc>
        <w:tc>
          <w:tcPr>
            <w:tcW w:type="dxa" w:w="360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Lead (ppb)</w:t>
            </w:r>
          </w:p>
        </w:tc>
        <w:tc>
          <w:tcPr>
            <w:tcW w:type="dxa" w:w="144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Site</w:t>
            </w:r>
          </w:p>
        </w:tc>
        <w:tc>
          <w:tcPr>
            <w:tcW w:type="dxa" w:w="360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Lead (ppb)</w:t>
            </w:r>
          </w:p>
        </w:tc>
      </w:tr>
      <w:tr>
        <w:trPr>
          <w:cantSplit/>
        </w:trPr>
        <w:tc>
          <w:tcPr>
            <w:tcW w:type="dxa" w:w="1440"/>
            <w:tcMar>
              <w:top w:type="dxa" w:w="70"/>
              <w:left w:type="dxa" w:w="100"/>
              <w:bottom w:type="dxa" w:w="70"/>
              <w:right w:type="dxa" w:w="100"/>
            </w:tcMar>
            <w:vAlign w:val="top"/>
          </w:tcPr>
          <w:p>
            <w:pPr>
              <w:keepNext/>
              <w:spacing w:after="0" w:line="252"/>
              <w:jc w:val="left"/>
            </w:pPr>
            <w:r>
              <w:rPr>
                <w:sz w:val="22"/>
                <w:szCs w:val="22"/>
              </w:rPr>
              <w:t xml:space="preserve">A1</w:t>
            </w:r>
          </w:p>
        </w:tc>
        <w:tc>
          <w:tcPr>
            <w:tcW w:type="dxa" w:w="3600"/>
            <w:tcMar>
              <w:top w:type="dxa" w:w="70"/>
              <w:left w:type="dxa" w:w="100"/>
              <w:bottom w:type="dxa" w:w="70"/>
              <w:right w:type="dxa" w:w="100"/>
            </w:tcMar>
            <w:vAlign w:val="top"/>
          </w:tcPr>
          <w:p>
            <w:pPr>
              <w:keepNext/>
              <w:spacing w:after="0" w:line="252"/>
              <w:jc w:val="left"/>
            </w:pPr>
            <w:r>
              <w:rPr>
                <w:sz w:val="22"/>
                <w:szCs w:val="22"/>
              </w:rPr>
              <w:t xml:space="preserve">4</w:t>
            </w:r>
          </w:p>
        </w:tc>
        <w:tc>
          <w:tcPr>
            <w:tcW w:type="dxa" w:w="1440"/>
            <w:tcMar>
              <w:top w:type="dxa" w:w="70"/>
              <w:left w:type="dxa" w:w="100"/>
              <w:bottom w:type="dxa" w:w="70"/>
              <w:right w:type="dxa" w:w="100"/>
            </w:tcMar>
            <w:vAlign w:val="top"/>
          </w:tcPr>
          <w:p>
            <w:pPr>
              <w:keepNext/>
              <w:spacing w:after="0" w:line="252"/>
              <w:jc w:val="left"/>
            </w:pPr>
            <w:r>
              <w:rPr>
                <w:sz w:val="22"/>
                <w:szCs w:val="22"/>
              </w:rPr>
              <w:t xml:space="preserve">A11</w:t>
            </w:r>
          </w:p>
        </w:tc>
        <w:tc>
          <w:tcPr>
            <w:tcW w:type="dxa" w:w="3600"/>
            <w:tcMar>
              <w:top w:type="dxa" w:w="70"/>
              <w:left w:type="dxa" w:w="100"/>
              <w:bottom w:type="dxa" w:w="70"/>
              <w:right w:type="dxa" w:w="100"/>
            </w:tcMar>
            <w:vAlign w:val="top"/>
          </w:tcPr>
          <w:p>
            <w:pPr>
              <w:keepNext/>
              <w:spacing w:after="0" w:line="252"/>
              <w:jc w:val="left"/>
            </w:pPr>
            <w:r>
              <w:rPr>
                <w:sz w:val="22"/>
                <w:szCs w:val="22"/>
              </w:rPr>
              <w:t xml:space="preserve">6</w:t>
            </w:r>
          </w:p>
        </w:tc>
      </w:tr>
      <w:tr>
        <w:trPr>
          <w:cantSplit/>
        </w:trPr>
        <w:tc>
          <w:tcPr>
            <w:tcW w:type="dxa" w:w="1440"/>
            <w:tcMar>
              <w:top w:type="dxa" w:w="70"/>
              <w:left w:type="dxa" w:w="100"/>
              <w:bottom w:type="dxa" w:w="70"/>
              <w:right w:type="dxa" w:w="100"/>
            </w:tcMar>
            <w:vAlign w:val="top"/>
          </w:tcPr>
          <w:p>
            <w:pPr>
              <w:keepNext/>
              <w:spacing w:after="0" w:line="252"/>
              <w:jc w:val="left"/>
            </w:pPr>
            <w:r>
              <w:rPr>
                <w:sz w:val="22"/>
                <w:szCs w:val="22"/>
              </w:rPr>
              <w:t xml:space="preserve">A2</w:t>
            </w:r>
          </w:p>
        </w:tc>
        <w:tc>
          <w:tcPr>
            <w:tcW w:type="dxa" w:w="3600"/>
            <w:tcMar>
              <w:top w:type="dxa" w:w="70"/>
              <w:left w:type="dxa" w:w="100"/>
              <w:bottom w:type="dxa" w:w="70"/>
              <w:right w:type="dxa" w:w="100"/>
            </w:tcMar>
            <w:vAlign w:val="top"/>
          </w:tcPr>
          <w:p>
            <w:pPr>
              <w:keepNext/>
              <w:spacing w:after="0" w:line="252"/>
              <w:jc w:val="left"/>
            </w:pPr>
            <w:r>
              <w:rPr>
                <w:sz w:val="22"/>
                <w:szCs w:val="22"/>
              </w:rPr>
              <w:t xml:space="preserve">1</w:t>
            </w:r>
          </w:p>
        </w:tc>
        <w:tc>
          <w:tcPr>
            <w:tcW w:type="dxa" w:w="1440"/>
            <w:tcMar>
              <w:top w:type="dxa" w:w="70"/>
              <w:left w:type="dxa" w:w="100"/>
              <w:bottom w:type="dxa" w:w="70"/>
              <w:right w:type="dxa" w:w="100"/>
            </w:tcMar>
            <w:vAlign w:val="top"/>
          </w:tcPr>
          <w:p>
            <w:pPr>
              <w:keepNext/>
              <w:spacing w:after="0" w:line="252"/>
              <w:jc w:val="left"/>
            </w:pPr>
            <w:r>
              <w:rPr>
                <w:sz w:val="22"/>
                <w:szCs w:val="22"/>
              </w:rPr>
              <w:t xml:space="preserve">A12</w:t>
            </w:r>
          </w:p>
        </w:tc>
        <w:tc>
          <w:tcPr>
            <w:tcW w:type="dxa" w:w="3600"/>
            <w:tcMar>
              <w:top w:type="dxa" w:w="70"/>
              <w:left w:type="dxa" w:w="100"/>
              <w:bottom w:type="dxa" w:w="70"/>
              <w:right w:type="dxa" w:w="100"/>
            </w:tcMar>
            <w:vAlign w:val="top"/>
          </w:tcPr>
          <w:p>
            <w:pPr>
              <w:keepNext/>
              <w:spacing w:after="0" w:line="252"/>
              <w:jc w:val="left"/>
            </w:pPr>
            <w:r>
              <w:rPr>
                <w:sz w:val="22"/>
                <w:szCs w:val="22"/>
              </w:rPr>
              <w:t xml:space="preserve">1</w:t>
            </w:r>
          </w:p>
        </w:tc>
      </w:tr>
      <w:tr>
        <w:trPr>
          <w:cantSplit/>
        </w:trPr>
        <w:tc>
          <w:tcPr>
            <w:tcW w:type="dxa" w:w="1440"/>
            <w:tcMar>
              <w:top w:type="dxa" w:w="70"/>
              <w:left w:type="dxa" w:w="100"/>
              <w:bottom w:type="dxa" w:w="70"/>
              <w:right w:type="dxa" w:w="100"/>
            </w:tcMar>
            <w:vAlign w:val="top"/>
          </w:tcPr>
          <w:p>
            <w:pPr>
              <w:keepNext/>
              <w:spacing w:after="0" w:line="252"/>
              <w:jc w:val="left"/>
            </w:pPr>
            <w:r>
              <w:rPr>
                <w:sz w:val="22"/>
                <w:szCs w:val="22"/>
              </w:rPr>
              <w:t xml:space="preserve">A3</w:t>
            </w:r>
          </w:p>
        </w:tc>
        <w:tc>
          <w:tcPr>
            <w:tcW w:type="dxa" w:w="3600"/>
            <w:tcMar>
              <w:top w:type="dxa" w:w="70"/>
              <w:left w:type="dxa" w:w="100"/>
              <w:bottom w:type="dxa" w:w="70"/>
              <w:right w:type="dxa" w:w="100"/>
            </w:tcMar>
            <w:vAlign w:val="top"/>
          </w:tcPr>
          <w:p>
            <w:pPr>
              <w:keepNext/>
              <w:spacing w:after="0" w:line="252"/>
              <w:jc w:val="left"/>
            </w:pPr>
            <w:r>
              <w:rPr>
                <w:sz w:val="22"/>
                <w:szCs w:val="22"/>
              </w:rPr>
              <w:t xml:space="preserve">9</w:t>
            </w:r>
          </w:p>
        </w:tc>
        <w:tc>
          <w:tcPr>
            <w:tcW w:type="dxa" w:w="1440"/>
            <w:tcMar>
              <w:top w:type="dxa" w:w="70"/>
              <w:left w:type="dxa" w:w="100"/>
              <w:bottom w:type="dxa" w:w="70"/>
              <w:right w:type="dxa" w:w="100"/>
            </w:tcMar>
            <w:vAlign w:val="top"/>
          </w:tcPr>
          <w:p>
            <w:pPr>
              <w:keepNext/>
              <w:spacing w:after="0" w:line="252"/>
              <w:jc w:val="left"/>
            </w:pPr>
            <w:r>
              <w:rPr>
                <w:sz w:val="22"/>
                <w:szCs w:val="22"/>
              </w:rPr>
              <w:t xml:space="preserve">A13</w:t>
            </w:r>
          </w:p>
        </w:tc>
        <w:tc>
          <w:tcPr>
            <w:tcW w:type="dxa" w:w="3600"/>
            <w:tcMar>
              <w:top w:type="dxa" w:w="70"/>
              <w:left w:type="dxa" w:w="100"/>
              <w:bottom w:type="dxa" w:w="70"/>
              <w:right w:type="dxa" w:w="100"/>
            </w:tcMar>
            <w:vAlign w:val="top"/>
          </w:tcPr>
          <w:p>
            <w:pPr>
              <w:keepNext/>
              <w:spacing w:after="0" w:line="252"/>
              <w:jc w:val="left"/>
            </w:pPr>
            <w:r>
              <w:rPr>
                <w:sz w:val="22"/>
                <w:szCs w:val="22"/>
              </w:rPr>
              <w:t xml:space="preserve">8</w:t>
            </w:r>
          </w:p>
        </w:tc>
      </w:tr>
      <w:tr>
        <w:trPr>
          <w:cantSplit/>
        </w:trPr>
        <w:tc>
          <w:tcPr>
            <w:tcW w:type="dxa" w:w="1440"/>
            <w:tcMar>
              <w:top w:type="dxa" w:w="70"/>
              <w:left w:type="dxa" w:w="100"/>
              <w:bottom w:type="dxa" w:w="70"/>
              <w:right w:type="dxa" w:w="100"/>
            </w:tcMar>
            <w:vAlign w:val="top"/>
          </w:tcPr>
          <w:p>
            <w:pPr>
              <w:keepNext/>
              <w:spacing w:after="0" w:line="252"/>
              <w:jc w:val="left"/>
            </w:pPr>
            <w:r>
              <w:rPr>
                <w:sz w:val="22"/>
                <w:szCs w:val="22"/>
              </w:rPr>
              <w:t xml:space="preserve">A4</w:t>
            </w:r>
          </w:p>
        </w:tc>
        <w:tc>
          <w:tcPr>
            <w:tcW w:type="dxa" w:w="3600"/>
            <w:tcMar>
              <w:top w:type="dxa" w:w="70"/>
              <w:left w:type="dxa" w:w="100"/>
              <w:bottom w:type="dxa" w:w="70"/>
              <w:right w:type="dxa" w:w="100"/>
            </w:tcMar>
            <w:vAlign w:val="top"/>
          </w:tcPr>
          <w:p>
            <w:pPr>
              <w:keepNext/>
              <w:spacing w:after="0" w:line="252"/>
              <w:jc w:val="left"/>
            </w:pPr>
            <w:r>
              <w:rPr>
                <w:sz w:val="22"/>
                <w:szCs w:val="22"/>
              </w:rPr>
              <w:t xml:space="preserve">2</w:t>
            </w:r>
          </w:p>
        </w:tc>
        <w:tc>
          <w:tcPr>
            <w:tcW w:type="dxa" w:w="1440"/>
            <w:tcMar>
              <w:top w:type="dxa" w:w="70"/>
              <w:left w:type="dxa" w:w="100"/>
              <w:bottom w:type="dxa" w:w="70"/>
              <w:right w:type="dxa" w:w="100"/>
            </w:tcMar>
            <w:vAlign w:val="top"/>
          </w:tcPr>
          <w:p>
            <w:pPr>
              <w:keepNext/>
              <w:spacing w:after="0" w:line="252"/>
              <w:jc w:val="left"/>
            </w:pPr>
            <w:r>
              <w:rPr>
                <w:sz w:val="22"/>
                <w:szCs w:val="22"/>
              </w:rPr>
              <w:t xml:space="preserve">A14</w:t>
            </w:r>
          </w:p>
        </w:tc>
        <w:tc>
          <w:tcPr>
            <w:tcW w:type="dxa" w:w="3600"/>
            <w:tcMar>
              <w:top w:type="dxa" w:w="70"/>
              <w:left w:type="dxa" w:w="100"/>
              <w:bottom w:type="dxa" w:w="70"/>
              <w:right w:type="dxa" w:w="100"/>
            </w:tcMar>
            <w:vAlign w:val="top"/>
          </w:tcPr>
          <w:p>
            <w:pPr>
              <w:keepNext/>
              <w:spacing w:after="0" w:line="252"/>
              <w:jc w:val="left"/>
            </w:pPr>
            <w:r>
              <w:rPr>
                <w:sz w:val="22"/>
                <w:szCs w:val="22"/>
              </w:rPr>
              <w:t xml:space="preserve">19</w:t>
            </w:r>
          </w:p>
        </w:tc>
      </w:tr>
      <w:tr>
        <w:trPr>
          <w:cantSplit/>
        </w:trPr>
        <w:tc>
          <w:tcPr>
            <w:tcW w:type="dxa" w:w="1440"/>
            <w:tcMar>
              <w:top w:type="dxa" w:w="70"/>
              <w:left w:type="dxa" w:w="100"/>
              <w:bottom w:type="dxa" w:w="70"/>
              <w:right w:type="dxa" w:w="100"/>
            </w:tcMar>
            <w:vAlign w:val="top"/>
          </w:tcPr>
          <w:p>
            <w:pPr>
              <w:keepNext/>
              <w:spacing w:after="0" w:line="252"/>
              <w:jc w:val="left"/>
            </w:pPr>
            <w:r>
              <w:rPr>
                <w:sz w:val="22"/>
                <w:szCs w:val="22"/>
              </w:rPr>
              <w:t xml:space="preserve">A5</w:t>
            </w:r>
          </w:p>
        </w:tc>
        <w:tc>
          <w:tcPr>
            <w:tcW w:type="dxa" w:w="3600"/>
            <w:tcMar>
              <w:top w:type="dxa" w:w="70"/>
              <w:left w:type="dxa" w:w="100"/>
              <w:bottom w:type="dxa" w:w="70"/>
              <w:right w:type="dxa" w:w="100"/>
            </w:tcMar>
            <w:vAlign w:val="top"/>
          </w:tcPr>
          <w:p>
            <w:pPr>
              <w:keepNext/>
              <w:spacing w:after="0" w:line="252"/>
              <w:jc w:val="left"/>
            </w:pPr>
            <w:r>
              <w:rPr>
                <w:sz w:val="22"/>
                <w:szCs w:val="22"/>
              </w:rPr>
              <w:t xml:space="preserve">27</w:t>
            </w:r>
          </w:p>
        </w:tc>
        <w:tc>
          <w:tcPr>
            <w:tcW w:type="dxa" w:w="1440"/>
            <w:tcMar>
              <w:top w:type="dxa" w:w="70"/>
              <w:left w:type="dxa" w:w="100"/>
              <w:bottom w:type="dxa" w:w="70"/>
              <w:right w:type="dxa" w:w="100"/>
            </w:tcMar>
            <w:vAlign w:val="top"/>
          </w:tcPr>
          <w:p>
            <w:pPr>
              <w:keepNext/>
              <w:spacing w:after="0" w:line="252"/>
              <w:jc w:val="left"/>
            </w:pPr>
            <w:r>
              <w:rPr>
                <w:sz w:val="22"/>
                <w:szCs w:val="22"/>
              </w:rPr>
              <w:t xml:space="preserve">A15</w:t>
            </w:r>
          </w:p>
        </w:tc>
        <w:tc>
          <w:tcPr>
            <w:tcW w:type="dxa" w:w="3600"/>
            <w:tcMar>
              <w:top w:type="dxa" w:w="70"/>
              <w:left w:type="dxa" w:w="100"/>
              <w:bottom w:type="dxa" w:w="70"/>
              <w:right w:type="dxa" w:w="100"/>
            </w:tcMar>
            <w:vAlign w:val="top"/>
          </w:tcPr>
          <w:p>
            <w:pPr>
              <w:keepNext/>
              <w:spacing w:after="0" w:line="252"/>
              <w:jc w:val="left"/>
            </w:pPr>
            <w:r>
              <w:rPr>
                <w:sz w:val="22"/>
                <w:szCs w:val="22"/>
              </w:rPr>
              <w:t xml:space="preserve">3</w:t>
            </w:r>
          </w:p>
        </w:tc>
      </w:tr>
      <w:tr>
        <w:trPr>
          <w:cantSplit/>
        </w:trPr>
        <w:tc>
          <w:tcPr>
            <w:tcW w:type="dxa" w:w="1440"/>
            <w:tcMar>
              <w:top w:type="dxa" w:w="70"/>
              <w:left w:type="dxa" w:w="100"/>
              <w:bottom w:type="dxa" w:w="70"/>
              <w:right w:type="dxa" w:w="100"/>
            </w:tcMar>
            <w:vAlign w:val="top"/>
          </w:tcPr>
          <w:p>
            <w:pPr>
              <w:keepNext/>
              <w:spacing w:after="0" w:line="252"/>
              <w:jc w:val="left"/>
            </w:pPr>
            <w:r>
              <w:rPr>
                <w:sz w:val="22"/>
                <w:szCs w:val="22"/>
              </w:rPr>
              <w:t xml:space="preserve">A6</w:t>
            </w:r>
          </w:p>
        </w:tc>
        <w:tc>
          <w:tcPr>
            <w:tcW w:type="dxa" w:w="3600"/>
            <w:tcMar>
              <w:top w:type="dxa" w:w="70"/>
              <w:left w:type="dxa" w:w="100"/>
              <w:bottom w:type="dxa" w:w="70"/>
              <w:right w:type="dxa" w:w="100"/>
            </w:tcMar>
            <w:vAlign w:val="top"/>
          </w:tcPr>
          <w:p>
            <w:pPr>
              <w:keepNext/>
              <w:spacing w:after="0" w:line="252"/>
              <w:jc w:val="left"/>
            </w:pPr>
            <w:r>
              <w:rPr>
                <w:sz w:val="22"/>
                <w:szCs w:val="22"/>
              </w:rPr>
              <w:t xml:space="preserve">5</w:t>
            </w:r>
          </w:p>
        </w:tc>
        <w:tc>
          <w:tcPr>
            <w:tcW w:type="dxa" w:w="1440"/>
            <w:tcMar>
              <w:top w:type="dxa" w:w="70"/>
              <w:left w:type="dxa" w:w="100"/>
              <w:bottom w:type="dxa" w:w="70"/>
              <w:right w:type="dxa" w:w="100"/>
            </w:tcMar>
            <w:vAlign w:val="top"/>
          </w:tcPr>
          <w:p>
            <w:pPr>
              <w:keepNext/>
              <w:spacing w:after="0" w:line="252"/>
              <w:jc w:val="left"/>
            </w:pPr>
            <w:r>
              <w:rPr>
                <w:sz w:val="22"/>
                <w:szCs w:val="22"/>
              </w:rPr>
              <w:t xml:space="preserve">A16</w:t>
            </w:r>
          </w:p>
        </w:tc>
        <w:tc>
          <w:tcPr>
            <w:tcW w:type="dxa" w:w="3600"/>
            <w:tcMar>
              <w:top w:type="dxa" w:w="70"/>
              <w:left w:type="dxa" w:w="100"/>
              <w:bottom w:type="dxa" w:w="70"/>
              <w:right w:type="dxa" w:w="100"/>
            </w:tcMar>
            <w:vAlign w:val="top"/>
          </w:tcPr>
          <w:p>
            <w:pPr>
              <w:keepNext/>
              <w:spacing w:after="0" w:line="252"/>
              <w:jc w:val="left"/>
            </w:pPr>
            <w:r>
              <w:rPr>
                <w:sz w:val="22"/>
                <w:szCs w:val="22"/>
              </w:rPr>
              <w:t xml:space="preserve">5</w:t>
            </w:r>
          </w:p>
        </w:tc>
      </w:tr>
      <w:tr>
        <w:trPr>
          <w:cantSplit/>
        </w:trPr>
        <w:tc>
          <w:tcPr>
            <w:tcW w:type="dxa" w:w="1440"/>
            <w:tcMar>
              <w:top w:type="dxa" w:w="70"/>
              <w:left w:type="dxa" w:w="100"/>
              <w:bottom w:type="dxa" w:w="70"/>
              <w:right w:type="dxa" w:w="100"/>
            </w:tcMar>
            <w:vAlign w:val="top"/>
          </w:tcPr>
          <w:p>
            <w:pPr>
              <w:keepNext/>
              <w:spacing w:after="0" w:line="252"/>
              <w:jc w:val="left"/>
            </w:pPr>
            <w:r>
              <w:rPr>
                <w:sz w:val="22"/>
                <w:szCs w:val="22"/>
              </w:rPr>
              <w:t xml:space="preserve">A7</w:t>
            </w:r>
          </w:p>
        </w:tc>
        <w:tc>
          <w:tcPr>
            <w:tcW w:type="dxa" w:w="3600"/>
            <w:tcMar>
              <w:top w:type="dxa" w:w="70"/>
              <w:left w:type="dxa" w:w="100"/>
              <w:bottom w:type="dxa" w:w="70"/>
              <w:right w:type="dxa" w:w="100"/>
            </w:tcMar>
            <w:vAlign w:val="top"/>
          </w:tcPr>
          <w:p>
            <w:pPr>
              <w:keepNext/>
              <w:spacing w:after="0" w:line="252"/>
              <w:jc w:val="left"/>
            </w:pPr>
            <w:r>
              <w:rPr>
                <w:sz w:val="22"/>
                <w:szCs w:val="22"/>
              </w:rPr>
              <w:t xml:space="preserve">3</w:t>
            </w:r>
          </w:p>
        </w:tc>
        <w:tc>
          <w:tcPr>
            <w:tcW w:type="dxa" w:w="1440"/>
            <w:tcMar>
              <w:top w:type="dxa" w:w="70"/>
              <w:left w:type="dxa" w:w="100"/>
              <w:bottom w:type="dxa" w:w="70"/>
              <w:right w:type="dxa" w:w="100"/>
            </w:tcMar>
            <w:vAlign w:val="top"/>
          </w:tcPr>
          <w:p>
            <w:pPr>
              <w:keepNext/>
              <w:spacing w:after="0" w:line="252"/>
              <w:jc w:val="left"/>
            </w:pPr>
            <w:r>
              <w:rPr>
                <w:sz w:val="22"/>
                <w:szCs w:val="22"/>
              </w:rPr>
              <w:t xml:space="preserve">A17</w:t>
            </w:r>
          </w:p>
        </w:tc>
        <w:tc>
          <w:tcPr>
            <w:tcW w:type="dxa" w:w="3600"/>
            <w:tcMar>
              <w:top w:type="dxa" w:w="70"/>
              <w:left w:type="dxa" w:w="100"/>
              <w:bottom w:type="dxa" w:w="70"/>
              <w:right w:type="dxa" w:w="100"/>
            </w:tcMar>
            <w:vAlign w:val="top"/>
          </w:tcPr>
          <w:p>
            <w:pPr>
              <w:keepNext/>
              <w:spacing w:after="0" w:line="252"/>
              <w:jc w:val="left"/>
            </w:pPr>
            <w:r>
              <w:rPr>
                <w:sz w:val="22"/>
                <w:szCs w:val="22"/>
              </w:rPr>
              <w:t xml:space="preserve">10</w:t>
            </w:r>
          </w:p>
        </w:tc>
      </w:tr>
      <w:tr>
        <w:trPr>
          <w:cantSplit/>
        </w:trPr>
        <w:tc>
          <w:tcPr>
            <w:tcW w:type="dxa" w:w="1440"/>
            <w:tcMar>
              <w:top w:type="dxa" w:w="70"/>
              <w:left w:type="dxa" w:w="100"/>
              <w:bottom w:type="dxa" w:w="70"/>
              <w:right w:type="dxa" w:w="100"/>
            </w:tcMar>
            <w:vAlign w:val="top"/>
          </w:tcPr>
          <w:p>
            <w:pPr>
              <w:keepNext/>
              <w:spacing w:after="0" w:line="252"/>
              <w:jc w:val="left"/>
            </w:pPr>
            <w:r>
              <w:rPr>
                <w:sz w:val="22"/>
                <w:szCs w:val="22"/>
              </w:rPr>
              <w:t xml:space="preserve">A8</w:t>
            </w:r>
          </w:p>
        </w:tc>
        <w:tc>
          <w:tcPr>
            <w:tcW w:type="dxa" w:w="3600"/>
            <w:tcMar>
              <w:top w:type="dxa" w:w="70"/>
              <w:left w:type="dxa" w:w="100"/>
              <w:bottom w:type="dxa" w:w="70"/>
              <w:right w:type="dxa" w:w="100"/>
            </w:tcMar>
            <w:vAlign w:val="top"/>
          </w:tcPr>
          <w:p>
            <w:pPr>
              <w:keepNext/>
              <w:spacing w:after="0" w:line="252"/>
              <w:jc w:val="left"/>
            </w:pPr>
            <w:r>
              <w:rPr>
                <w:sz w:val="22"/>
                <w:szCs w:val="22"/>
              </w:rPr>
              <w:t xml:space="preserve">7</w:t>
            </w:r>
          </w:p>
        </w:tc>
        <w:tc>
          <w:tcPr>
            <w:tcW w:type="dxa" w:w="1440"/>
            <w:tcMar>
              <w:top w:type="dxa" w:w="70"/>
              <w:left w:type="dxa" w:w="100"/>
              <w:bottom w:type="dxa" w:w="70"/>
              <w:right w:type="dxa" w:w="100"/>
            </w:tcMar>
            <w:vAlign w:val="top"/>
          </w:tcPr>
          <w:p>
            <w:pPr>
              <w:keepNext/>
              <w:spacing w:after="0" w:line="252"/>
              <w:jc w:val="left"/>
            </w:pPr>
            <w:r>
              <w:rPr>
                <w:sz w:val="22"/>
                <w:szCs w:val="22"/>
              </w:rPr>
              <w:t xml:space="preserve">A18</w:t>
            </w:r>
          </w:p>
        </w:tc>
        <w:tc>
          <w:tcPr>
            <w:tcW w:type="dxa" w:w="3600"/>
            <w:tcMar>
              <w:top w:type="dxa" w:w="70"/>
              <w:left w:type="dxa" w:w="100"/>
              <w:bottom w:type="dxa" w:w="70"/>
              <w:right w:type="dxa" w:w="100"/>
            </w:tcMar>
            <w:vAlign w:val="top"/>
          </w:tcPr>
          <w:p>
            <w:pPr>
              <w:keepNext/>
              <w:spacing w:after="0" w:line="252"/>
              <w:jc w:val="left"/>
            </w:pPr>
            <w:r>
              <w:rPr>
                <w:sz w:val="22"/>
                <w:szCs w:val="22"/>
              </w:rPr>
              <w:t xml:space="preserve">2</w:t>
            </w:r>
          </w:p>
        </w:tc>
      </w:tr>
      <w:tr>
        <w:trPr>
          <w:cantSplit/>
        </w:trPr>
        <w:tc>
          <w:tcPr>
            <w:tcW w:type="dxa" w:w="1440"/>
            <w:tcMar>
              <w:top w:type="dxa" w:w="70"/>
              <w:left w:type="dxa" w:w="100"/>
              <w:bottom w:type="dxa" w:w="70"/>
              <w:right w:type="dxa" w:w="100"/>
            </w:tcMar>
            <w:vAlign w:val="top"/>
          </w:tcPr>
          <w:p>
            <w:pPr>
              <w:keepNext/>
              <w:spacing w:after="0" w:line="252"/>
              <w:jc w:val="left"/>
            </w:pPr>
            <w:r>
              <w:rPr>
                <w:sz w:val="22"/>
                <w:szCs w:val="22"/>
              </w:rPr>
              <w:t xml:space="preserve">A9</w:t>
            </w:r>
          </w:p>
        </w:tc>
        <w:tc>
          <w:tcPr>
            <w:tcW w:type="dxa" w:w="3600"/>
            <w:tcMar>
              <w:top w:type="dxa" w:w="70"/>
              <w:left w:type="dxa" w:w="100"/>
              <w:bottom w:type="dxa" w:w="70"/>
              <w:right w:type="dxa" w:w="100"/>
            </w:tcMar>
            <w:vAlign w:val="top"/>
          </w:tcPr>
          <w:p>
            <w:pPr>
              <w:keepNext/>
              <w:spacing w:after="0" w:line="252"/>
              <w:jc w:val="left"/>
            </w:pPr>
            <w:r>
              <w:rPr>
                <w:sz w:val="22"/>
                <w:szCs w:val="22"/>
              </w:rPr>
              <w:t xml:space="preserve">2</w:t>
            </w:r>
          </w:p>
        </w:tc>
        <w:tc>
          <w:tcPr>
            <w:tcW w:type="dxa" w:w="1440"/>
            <w:tcMar>
              <w:top w:type="dxa" w:w="70"/>
              <w:left w:type="dxa" w:w="100"/>
              <w:bottom w:type="dxa" w:w="70"/>
              <w:right w:type="dxa" w:w="100"/>
            </w:tcMar>
            <w:vAlign w:val="top"/>
          </w:tcPr>
          <w:p>
            <w:pPr>
              <w:keepNext/>
              <w:spacing w:after="0" w:line="252"/>
              <w:jc w:val="left"/>
            </w:pPr>
            <w:r>
              <w:rPr>
                <w:sz w:val="22"/>
                <w:szCs w:val="22"/>
              </w:rPr>
              <w:t xml:space="preserve">A19</w:t>
            </w:r>
          </w:p>
        </w:tc>
        <w:tc>
          <w:tcPr>
            <w:tcW w:type="dxa" w:w="3600"/>
            <w:tcMar>
              <w:top w:type="dxa" w:w="70"/>
              <w:left w:type="dxa" w:w="100"/>
              <w:bottom w:type="dxa" w:w="70"/>
              <w:right w:type="dxa" w:w="100"/>
            </w:tcMar>
            <w:vAlign w:val="top"/>
          </w:tcPr>
          <w:p>
            <w:pPr>
              <w:keepNext/>
              <w:spacing w:after="0" w:line="252"/>
              <w:jc w:val="left"/>
            </w:pPr>
            <w:r>
              <w:rPr>
                <w:sz w:val="22"/>
                <w:szCs w:val="22"/>
              </w:rPr>
              <w:t xml:space="preserve">7</w:t>
            </w:r>
          </w:p>
        </w:tc>
      </w:tr>
      <w:tr>
        <w:trPr>
          <w:cantSplit/>
        </w:trPr>
        <w:tc>
          <w:tcPr>
            <w:tcW w:type="dxa" w:w="1440"/>
            <w:tcMar>
              <w:top w:type="dxa" w:w="70"/>
              <w:left w:type="dxa" w:w="100"/>
              <w:bottom w:type="dxa" w:w="70"/>
              <w:right w:type="dxa" w:w="100"/>
            </w:tcMar>
            <w:vAlign w:val="top"/>
          </w:tcPr>
          <w:p>
            <w:pPr>
              <w:spacing w:after="0" w:line="252"/>
              <w:jc w:val="left"/>
            </w:pPr>
            <w:r>
              <w:rPr>
                <w:sz w:val="22"/>
                <w:szCs w:val="22"/>
              </w:rPr>
              <w:t xml:space="preserve">A10</w:t>
            </w:r>
          </w:p>
        </w:tc>
        <w:tc>
          <w:tcPr>
            <w:tcW w:type="dxa" w:w="3600"/>
            <w:tcMar>
              <w:top w:type="dxa" w:w="70"/>
              <w:left w:type="dxa" w:w="100"/>
              <w:bottom w:type="dxa" w:w="70"/>
              <w:right w:type="dxa" w:w="100"/>
            </w:tcMar>
            <w:vAlign w:val="top"/>
          </w:tcPr>
          <w:p>
            <w:pPr>
              <w:spacing w:after="0" w:line="252"/>
              <w:jc w:val="left"/>
            </w:pPr>
            <w:r>
              <w:rPr>
                <w:sz w:val="22"/>
                <w:szCs w:val="22"/>
              </w:rPr>
              <w:t xml:space="preserve">11</w:t>
            </w:r>
          </w:p>
        </w:tc>
        <w:tc>
          <w:tcPr>
            <w:tcW w:type="dxa" w:w="1440"/>
            <w:tcMar>
              <w:top w:type="dxa" w:w="70"/>
              <w:left w:type="dxa" w:w="100"/>
              <w:bottom w:type="dxa" w:w="70"/>
              <w:right w:type="dxa" w:w="100"/>
            </w:tcMar>
            <w:vAlign w:val="top"/>
          </w:tcPr>
          <w:p>
            <w:pPr>
              <w:spacing w:after="0" w:line="252"/>
              <w:jc w:val="left"/>
            </w:pPr>
            <w:r>
              <w:rPr>
                <w:sz w:val="22"/>
                <w:szCs w:val="22"/>
              </w:rPr>
              <w:t xml:space="preserve">A20</w:t>
            </w:r>
          </w:p>
        </w:tc>
        <w:tc>
          <w:tcPr>
            <w:tcW w:type="dxa" w:w="3600"/>
            <w:tcMar>
              <w:top w:type="dxa" w:w="70"/>
              <w:left w:type="dxa" w:w="100"/>
              <w:bottom w:type="dxa" w:w="70"/>
              <w:right w:type="dxa" w:w="100"/>
            </w:tcMar>
            <w:vAlign w:val="top"/>
          </w:tcPr>
          <w:p>
            <w:pPr>
              <w:spacing w:after="0" w:line="252"/>
              <w:jc w:val="left"/>
            </w:pPr>
            <w:r>
              <w:rPr>
                <w:sz w:val="22"/>
                <w:szCs w:val="22"/>
              </w:rPr>
              <w:t xml:space="preserve">4</w:t>
            </w:r>
          </w:p>
        </w:tc>
      </w:tr>
    </w:tbl>
    <w:p>
      <w:pPr>
        <w:spacing w:after="160" w:before="0"/>
      </w:pPr>
    </w:p>
    <w:p>
      <w:pPr>
        <w:spacing w:after="120" w:line="276"/>
      </w:pPr>
      <w:r>
        <w:rPr>
          <w:sz w:val="22"/>
          <w:szCs w:val="22"/>
        </w:rPr>
        <w:t xml:space="preserve">How Cedar Hollow finds the 90th-percentile value: list the 20 results from lowest to highest and number them 1 to 20. Multiply the number of samples by 0.9. The result at that rank is the 90th-percentile value. The action level is exceeded only when the 90th-percentile value is greater than the action level.</w:t>
      </w:r>
    </w:p>
    <w:p>
      <w:pPr>
        <w:keepNext/>
        <w:keepLines/>
        <w:spacing w:after="120" w:line="276"/>
      </w:pPr>
      <w:r>
        <w:rPr>
          <w:b/>
          <w:bCs/>
          <w:sz w:val="22"/>
          <w:szCs w:val="22"/>
        </w:rPr>
        <w:t xml:space="preserve">Document 3. Chlorine residual in the distribution system, 2025.</w:t>
      </w:r>
      <w:r>
        <w:rPr>
          <w:sz w:val="22"/>
          <w:szCs w:val="22"/>
        </w:rPr>
        <w:t xml:space="preserve"> Each value is the average of all samples taken in the pipes that month.</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613"/>
        <w:gridCol w:w="3225"/>
        <w:gridCol w:w="2016"/>
        <w:gridCol w:w="3226"/>
      </w:tblGrid>
      <w:tr>
        <w:trPr>
          <w:cantSplit/>
          <w:tblHeader/>
        </w:trPr>
        <w:tc>
          <w:tcPr>
            <w:tcW w:type="dxa" w:w="161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Month</w:t>
            </w:r>
          </w:p>
        </w:tc>
        <w:tc>
          <w:tcPr>
            <w:tcW w:type="dxa" w:w="322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Average (mg/L)</w:t>
            </w:r>
          </w:p>
        </w:tc>
        <w:tc>
          <w:tcPr>
            <w:tcW w:type="dxa" w:w="201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Month</w:t>
            </w:r>
          </w:p>
        </w:tc>
        <w:tc>
          <w:tcPr>
            <w:tcW w:type="dxa" w:w="322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Average (mg/L)</w:t>
            </w:r>
          </w:p>
        </w:tc>
      </w:tr>
      <w:tr>
        <w:trPr>
          <w:cantSplit/>
        </w:trPr>
        <w:tc>
          <w:tcPr>
            <w:tcW w:type="dxa" w:w="1613"/>
            <w:tcMar>
              <w:top w:type="dxa" w:w="70"/>
              <w:left w:type="dxa" w:w="100"/>
              <w:bottom w:type="dxa" w:w="70"/>
              <w:right w:type="dxa" w:w="100"/>
            </w:tcMar>
            <w:vAlign w:val="top"/>
          </w:tcPr>
          <w:p>
            <w:pPr>
              <w:keepNext/>
              <w:spacing w:after="0" w:line="252"/>
              <w:jc w:val="left"/>
            </w:pPr>
            <w:r>
              <w:rPr>
                <w:sz w:val="22"/>
                <w:szCs w:val="22"/>
              </w:rPr>
              <w:t xml:space="preserve">January</w:t>
            </w:r>
          </w:p>
        </w:tc>
        <w:tc>
          <w:tcPr>
            <w:tcW w:type="dxa" w:w="3225"/>
            <w:tcMar>
              <w:top w:type="dxa" w:w="70"/>
              <w:left w:type="dxa" w:w="100"/>
              <w:bottom w:type="dxa" w:w="70"/>
              <w:right w:type="dxa" w:w="100"/>
            </w:tcMar>
            <w:vAlign w:val="top"/>
          </w:tcPr>
          <w:p>
            <w:pPr>
              <w:keepNext/>
              <w:spacing w:after="0" w:line="252"/>
              <w:jc w:val="left"/>
            </w:pPr>
            <w:r>
              <w:rPr>
                <w:sz w:val="22"/>
                <w:szCs w:val="22"/>
              </w:rPr>
              <w:t xml:space="preserve">1.0</w:t>
            </w:r>
          </w:p>
        </w:tc>
        <w:tc>
          <w:tcPr>
            <w:tcW w:type="dxa" w:w="2016"/>
            <w:tcMar>
              <w:top w:type="dxa" w:w="70"/>
              <w:left w:type="dxa" w:w="100"/>
              <w:bottom w:type="dxa" w:w="70"/>
              <w:right w:type="dxa" w:w="100"/>
            </w:tcMar>
            <w:vAlign w:val="top"/>
          </w:tcPr>
          <w:p>
            <w:pPr>
              <w:keepNext/>
              <w:spacing w:after="0" w:line="252"/>
              <w:jc w:val="left"/>
            </w:pPr>
            <w:r>
              <w:rPr>
                <w:sz w:val="22"/>
                <w:szCs w:val="22"/>
              </w:rPr>
              <w:t xml:space="preserve">July</w:t>
            </w:r>
          </w:p>
        </w:tc>
        <w:tc>
          <w:tcPr>
            <w:tcW w:type="dxa" w:w="3226"/>
            <w:tcMar>
              <w:top w:type="dxa" w:w="70"/>
              <w:left w:type="dxa" w:w="100"/>
              <w:bottom w:type="dxa" w:w="70"/>
              <w:right w:type="dxa" w:w="100"/>
            </w:tcMar>
            <w:vAlign w:val="top"/>
          </w:tcPr>
          <w:p>
            <w:pPr>
              <w:keepNext/>
              <w:spacing w:after="0" w:line="252"/>
              <w:jc w:val="left"/>
            </w:pPr>
            <w:r>
              <w:rPr>
                <w:sz w:val="22"/>
                <w:szCs w:val="22"/>
              </w:rPr>
              <w:t xml:space="preserve">2.1</w:t>
            </w:r>
          </w:p>
        </w:tc>
      </w:tr>
      <w:tr>
        <w:trPr>
          <w:cantSplit/>
        </w:trPr>
        <w:tc>
          <w:tcPr>
            <w:tcW w:type="dxa" w:w="1613"/>
            <w:tcMar>
              <w:top w:type="dxa" w:w="70"/>
              <w:left w:type="dxa" w:w="100"/>
              <w:bottom w:type="dxa" w:w="70"/>
              <w:right w:type="dxa" w:w="100"/>
            </w:tcMar>
            <w:vAlign w:val="top"/>
          </w:tcPr>
          <w:p>
            <w:pPr>
              <w:keepNext/>
              <w:spacing w:after="0" w:line="252"/>
              <w:jc w:val="left"/>
            </w:pPr>
            <w:r>
              <w:rPr>
                <w:sz w:val="22"/>
                <w:szCs w:val="22"/>
              </w:rPr>
              <w:t xml:space="preserve">February</w:t>
            </w:r>
          </w:p>
        </w:tc>
        <w:tc>
          <w:tcPr>
            <w:tcW w:type="dxa" w:w="3225"/>
            <w:tcMar>
              <w:top w:type="dxa" w:w="70"/>
              <w:left w:type="dxa" w:w="100"/>
              <w:bottom w:type="dxa" w:w="70"/>
              <w:right w:type="dxa" w:w="100"/>
            </w:tcMar>
            <w:vAlign w:val="top"/>
          </w:tcPr>
          <w:p>
            <w:pPr>
              <w:keepNext/>
              <w:spacing w:after="0" w:line="252"/>
              <w:jc w:val="left"/>
            </w:pPr>
            <w:r>
              <w:rPr>
                <w:sz w:val="22"/>
                <w:szCs w:val="22"/>
              </w:rPr>
              <w:t xml:space="preserve">1.1</w:t>
            </w:r>
          </w:p>
        </w:tc>
        <w:tc>
          <w:tcPr>
            <w:tcW w:type="dxa" w:w="2016"/>
            <w:tcMar>
              <w:top w:type="dxa" w:w="70"/>
              <w:left w:type="dxa" w:w="100"/>
              <w:bottom w:type="dxa" w:w="70"/>
              <w:right w:type="dxa" w:w="100"/>
            </w:tcMar>
            <w:vAlign w:val="top"/>
          </w:tcPr>
          <w:p>
            <w:pPr>
              <w:keepNext/>
              <w:spacing w:after="0" w:line="252"/>
              <w:jc w:val="left"/>
            </w:pPr>
            <w:r>
              <w:rPr>
                <w:sz w:val="22"/>
                <w:szCs w:val="22"/>
              </w:rPr>
              <w:t xml:space="preserve">August</w:t>
            </w:r>
          </w:p>
        </w:tc>
        <w:tc>
          <w:tcPr>
            <w:tcW w:type="dxa" w:w="3226"/>
            <w:tcMar>
              <w:top w:type="dxa" w:w="70"/>
              <w:left w:type="dxa" w:w="100"/>
              <w:bottom w:type="dxa" w:w="70"/>
              <w:right w:type="dxa" w:w="100"/>
            </w:tcMar>
            <w:vAlign w:val="top"/>
          </w:tcPr>
          <w:p>
            <w:pPr>
              <w:keepNext/>
              <w:spacing w:after="0" w:line="252"/>
              <w:jc w:val="left"/>
            </w:pPr>
            <w:r>
              <w:rPr>
                <w:sz w:val="22"/>
                <w:szCs w:val="22"/>
              </w:rPr>
              <w:t xml:space="preserve">2.2</w:t>
            </w:r>
          </w:p>
        </w:tc>
      </w:tr>
      <w:tr>
        <w:trPr>
          <w:cantSplit/>
        </w:trPr>
        <w:tc>
          <w:tcPr>
            <w:tcW w:type="dxa" w:w="1613"/>
            <w:tcMar>
              <w:top w:type="dxa" w:w="70"/>
              <w:left w:type="dxa" w:w="100"/>
              <w:bottom w:type="dxa" w:w="70"/>
              <w:right w:type="dxa" w:w="100"/>
            </w:tcMar>
            <w:vAlign w:val="top"/>
          </w:tcPr>
          <w:p>
            <w:pPr>
              <w:keepNext/>
              <w:spacing w:after="0" w:line="252"/>
              <w:jc w:val="left"/>
            </w:pPr>
            <w:r>
              <w:rPr>
                <w:sz w:val="22"/>
                <w:szCs w:val="22"/>
              </w:rPr>
              <w:t xml:space="preserve">March</w:t>
            </w:r>
          </w:p>
        </w:tc>
        <w:tc>
          <w:tcPr>
            <w:tcW w:type="dxa" w:w="3225"/>
            <w:tcMar>
              <w:top w:type="dxa" w:w="70"/>
              <w:left w:type="dxa" w:w="100"/>
              <w:bottom w:type="dxa" w:w="70"/>
              <w:right w:type="dxa" w:w="100"/>
            </w:tcMar>
            <w:vAlign w:val="top"/>
          </w:tcPr>
          <w:p>
            <w:pPr>
              <w:keepNext/>
              <w:spacing w:after="0" w:line="252"/>
              <w:jc w:val="left"/>
            </w:pPr>
            <w:r>
              <w:rPr>
                <w:sz w:val="22"/>
                <w:szCs w:val="22"/>
              </w:rPr>
              <w:t xml:space="preserve">1.2</w:t>
            </w:r>
          </w:p>
        </w:tc>
        <w:tc>
          <w:tcPr>
            <w:tcW w:type="dxa" w:w="2016"/>
            <w:tcMar>
              <w:top w:type="dxa" w:w="70"/>
              <w:left w:type="dxa" w:w="100"/>
              <w:bottom w:type="dxa" w:w="70"/>
              <w:right w:type="dxa" w:w="100"/>
            </w:tcMar>
            <w:vAlign w:val="top"/>
          </w:tcPr>
          <w:p>
            <w:pPr>
              <w:keepNext/>
              <w:spacing w:after="0" w:line="252"/>
              <w:jc w:val="left"/>
            </w:pPr>
            <w:r>
              <w:rPr>
                <w:sz w:val="22"/>
                <w:szCs w:val="22"/>
              </w:rPr>
              <w:t xml:space="preserve">September</w:t>
            </w:r>
          </w:p>
        </w:tc>
        <w:tc>
          <w:tcPr>
            <w:tcW w:type="dxa" w:w="3226"/>
            <w:tcMar>
              <w:top w:type="dxa" w:w="70"/>
              <w:left w:type="dxa" w:w="100"/>
              <w:bottom w:type="dxa" w:w="70"/>
              <w:right w:type="dxa" w:w="100"/>
            </w:tcMar>
            <w:vAlign w:val="top"/>
          </w:tcPr>
          <w:p>
            <w:pPr>
              <w:keepNext/>
              <w:spacing w:after="0" w:line="252"/>
              <w:jc w:val="left"/>
            </w:pPr>
            <w:r>
              <w:rPr>
                <w:sz w:val="22"/>
                <w:szCs w:val="22"/>
              </w:rPr>
              <w:t xml:space="preserve">1.9</w:t>
            </w:r>
          </w:p>
        </w:tc>
      </w:tr>
      <w:tr>
        <w:trPr>
          <w:cantSplit/>
        </w:trPr>
        <w:tc>
          <w:tcPr>
            <w:tcW w:type="dxa" w:w="1613"/>
            <w:tcMar>
              <w:top w:type="dxa" w:w="70"/>
              <w:left w:type="dxa" w:w="100"/>
              <w:bottom w:type="dxa" w:w="70"/>
              <w:right w:type="dxa" w:w="100"/>
            </w:tcMar>
            <w:vAlign w:val="top"/>
          </w:tcPr>
          <w:p>
            <w:pPr>
              <w:keepNext/>
              <w:spacing w:after="0" w:line="252"/>
              <w:jc w:val="left"/>
            </w:pPr>
            <w:r>
              <w:rPr>
                <w:sz w:val="22"/>
                <w:szCs w:val="22"/>
              </w:rPr>
              <w:t xml:space="preserve">April</w:t>
            </w:r>
          </w:p>
        </w:tc>
        <w:tc>
          <w:tcPr>
            <w:tcW w:type="dxa" w:w="3225"/>
            <w:tcMar>
              <w:top w:type="dxa" w:w="70"/>
              <w:left w:type="dxa" w:w="100"/>
              <w:bottom w:type="dxa" w:w="70"/>
              <w:right w:type="dxa" w:w="100"/>
            </w:tcMar>
            <w:vAlign w:val="top"/>
          </w:tcPr>
          <w:p>
            <w:pPr>
              <w:keepNext/>
              <w:spacing w:after="0" w:line="252"/>
              <w:jc w:val="left"/>
            </w:pPr>
            <w:r>
              <w:rPr>
                <w:sz w:val="22"/>
                <w:szCs w:val="22"/>
              </w:rPr>
              <w:t xml:space="preserve">1.3</w:t>
            </w:r>
          </w:p>
        </w:tc>
        <w:tc>
          <w:tcPr>
            <w:tcW w:type="dxa" w:w="2016"/>
            <w:tcMar>
              <w:top w:type="dxa" w:w="70"/>
              <w:left w:type="dxa" w:w="100"/>
              <w:bottom w:type="dxa" w:w="70"/>
              <w:right w:type="dxa" w:w="100"/>
            </w:tcMar>
            <w:vAlign w:val="top"/>
          </w:tcPr>
          <w:p>
            <w:pPr>
              <w:keepNext/>
              <w:spacing w:after="0" w:line="252"/>
              <w:jc w:val="left"/>
            </w:pPr>
            <w:r>
              <w:rPr>
                <w:sz w:val="22"/>
                <w:szCs w:val="22"/>
              </w:rPr>
              <w:t xml:space="preserve">October</w:t>
            </w:r>
          </w:p>
        </w:tc>
        <w:tc>
          <w:tcPr>
            <w:tcW w:type="dxa" w:w="3226"/>
            <w:tcMar>
              <w:top w:type="dxa" w:w="70"/>
              <w:left w:type="dxa" w:w="100"/>
              <w:bottom w:type="dxa" w:w="70"/>
              <w:right w:type="dxa" w:w="100"/>
            </w:tcMar>
            <w:vAlign w:val="top"/>
          </w:tcPr>
          <w:p>
            <w:pPr>
              <w:keepNext/>
              <w:spacing w:after="0" w:line="252"/>
              <w:jc w:val="left"/>
            </w:pPr>
            <w:r>
              <w:rPr>
                <w:sz w:val="22"/>
                <w:szCs w:val="22"/>
              </w:rPr>
              <w:t xml:space="preserve">1.5</w:t>
            </w:r>
          </w:p>
        </w:tc>
      </w:tr>
      <w:tr>
        <w:trPr>
          <w:cantSplit/>
        </w:trPr>
        <w:tc>
          <w:tcPr>
            <w:tcW w:type="dxa" w:w="1613"/>
            <w:tcMar>
              <w:top w:type="dxa" w:w="70"/>
              <w:left w:type="dxa" w:w="100"/>
              <w:bottom w:type="dxa" w:w="70"/>
              <w:right w:type="dxa" w:w="100"/>
            </w:tcMar>
            <w:vAlign w:val="top"/>
          </w:tcPr>
          <w:p>
            <w:pPr>
              <w:keepNext/>
              <w:spacing w:after="0" w:line="252"/>
              <w:jc w:val="left"/>
            </w:pPr>
            <w:r>
              <w:rPr>
                <w:sz w:val="22"/>
                <w:szCs w:val="22"/>
              </w:rPr>
              <w:t xml:space="preserve">May</w:t>
            </w:r>
          </w:p>
        </w:tc>
        <w:tc>
          <w:tcPr>
            <w:tcW w:type="dxa" w:w="3225"/>
            <w:tcMar>
              <w:top w:type="dxa" w:w="70"/>
              <w:left w:type="dxa" w:w="100"/>
              <w:bottom w:type="dxa" w:w="70"/>
              <w:right w:type="dxa" w:w="100"/>
            </w:tcMar>
            <w:vAlign w:val="top"/>
          </w:tcPr>
          <w:p>
            <w:pPr>
              <w:keepNext/>
              <w:spacing w:after="0" w:line="252"/>
              <w:jc w:val="left"/>
            </w:pPr>
            <w:r>
              <w:rPr>
                <w:sz w:val="22"/>
                <w:szCs w:val="22"/>
              </w:rPr>
              <w:t xml:space="preserve">1.5</w:t>
            </w:r>
          </w:p>
        </w:tc>
        <w:tc>
          <w:tcPr>
            <w:tcW w:type="dxa" w:w="2016"/>
            <w:tcMar>
              <w:top w:type="dxa" w:w="70"/>
              <w:left w:type="dxa" w:w="100"/>
              <w:bottom w:type="dxa" w:w="70"/>
              <w:right w:type="dxa" w:w="100"/>
            </w:tcMar>
            <w:vAlign w:val="top"/>
          </w:tcPr>
          <w:p>
            <w:pPr>
              <w:keepNext/>
              <w:spacing w:after="0" w:line="252"/>
              <w:jc w:val="left"/>
            </w:pPr>
            <w:r>
              <w:rPr>
                <w:sz w:val="22"/>
                <w:szCs w:val="22"/>
              </w:rPr>
              <w:t xml:space="preserve">November</w:t>
            </w:r>
          </w:p>
        </w:tc>
        <w:tc>
          <w:tcPr>
            <w:tcW w:type="dxa" w:w="3226"/>
            <w:tcMar>
              <w:top w:type="dxa" w:w="70"/>
              <w:left w:type="dxa" w:w="100"/>
              <w:bottom w:type="dxa" w:w="70"/>
              <w:right w:type="dxa" w:w="100"/>
            </w:tcMar>
            <w:vAlign w:val="top"/>
          </w:tcPr>
          <w:p>
            <w:pPr>
              <w:keepNext/>
              <w:spacing w:after="0" w:line="252"/>
              <w:jc w:val="left"/>
            </w:pPr>
            <w:r>
              <w:rPr>
                <w:sz w:val="22"/>
                <w:szCs w:val="22"/>
              </w:rPr>
              <w:t xml:space="preserve">1.2</w:t>
            </w:r>
          </w:p>
        </w:tc>
      </w:tr>
      <w:tr>
        <w:trPr>
          <w:cantSplit/>
        </w:trPr>
        <w:tc>
          <w:tcPr>
            <w:tcW w:type="dxa" w:w="1613"/>
            <w:tcMar>
              <w:top w:type="dxa" w:w="70"/>
              <w:left w:type="dxa" w:w="100"/>
              <w:bottom w:type="dxa" w:w="70"/>
              <w:right w:type="dxa" w:w="100"/>
            </w:tcMar>
            <w:vAlign w:val="top"/>
          </w:tcPr>
          <w:p>
            <w:pPr>
              <w:spacing w:after="0" w:line="252"/>
              <w:jc w:val="left"/>
            </w:pPr>
            <w:r>
              <w:rPr>
                <w:sz w:val="22"/>
                <w:szCs w:val="22"/>
              </w:rPr>
              <w:t xml:space="preserve">June</w:t>
            </w:r>
          </w:p>
        </w:tc>
        <w:tc>
          <w:tcPr>
            <w:tcW w:type="dxa" w:w="3225"/>
            <w:tcMar>
              <w:top w:type="dxa" w:w="70"/>
              <w:left w:type="dxa" w:w="100"/>
              <w:bottom w:type="dxa" w:w="70"/>
              <w:right w:type="dxa" w:w="100"/>
            </w:tcMar>
            <w:vAlign w:val="top"/>
          </w:tcPr>
          <w:p>
            <w:pPr>
              <w:spacing w:after="0" w:line="252"/>
              <w:jc w:val="left"/>
            </w:pPr>
            <w:r>
              <w:rPr>
                <w:sz w:val="22"/>
                <w:szCs w:val="22"/>
              </w:rPr>
              <w:t xml:space="preserve">1.8</w:t>
            </w:r>
          </w:p>
        </w:tc>
        <w:tc>
          <w:tcPr>
            <w:tcW w:type="dxa" w:w="2016"/>
            <w:tcMar>
              <w:top w:type="dxa" w:w="70"/>
              <w:left w:type="dxa" w:w="100"/>
              <w:bottom w:type="dxa" w:w="70"/>
              <w:right w:type="dxa" w:w="100"/>
            </w:tcMar>
            <w:vAlign w:val="top"/>
          </w:tcPr>
          <w:p>
            <w:pPr>
              <w:spacing w:after="0" w:line="252"/>
              <w:jc w:val="left"/>
            </w:pPr>
            <w:r>
              <w:rPr>
                <w:sz w:val="22"/>
                <w:szCs w:val="22"/>
              </w:rPr>
              <w:t xml:space="preserve">December</w:t>
            </w:r>
          </w:p>
        </w:tc>
        <w:tc>
          <w:tcPr>
            <w:tcW w:type="dxa" w:w="3226"/>
            <w:tcMar>
              <w:top w:type="dxa" w:w="70"/>
              <w:left w:type="dxa" w:w="100"/>
              <w:bottom w:type="dxa" w:w="70"/>
              <w:right w:type="dxa" w:w="100"/>
            </w:tcMar>
            <w:vAlign w:val="top"/>
          </w:tcPr>
          <w:p>
            <w:pPr>
              <w:spacing w:after="0" w:line="252"/>
              <w:jc w:val="left"/>
            </w:pPr>
            <w:r>
              <w:rPr>
                <w:sz w:val="22"/>
                <w:szCs w:val="22"/>
              </w:rPr>
              <w:t xml:space="preserve">1.2</w:t>
            </w:r>
          </w:p>
        </w:tc>
      </w:tr>
    </w:tbl>
    <w:p>
      <w:pPr>
        <w:spacing w:after="160" w:before="0"/>
      </w:pPr>
    </w:p>
    <w:p>
      <w:pPr>
        <w:spacing w:after="120" w:line="276"/>
      </w:pPr>
      <w:r>
        <w:rPr>
          <w:sz w:val="22"/>
          <w:szCs w:val="22"/>
        </w:rPr>
        <w:t xml:space="preserve">How the MRDL is judged: each quarter, the utility averages the 12 most recent monthly averages. This running annual average must not exceed 4.0 mg/L. Systems using chlorine typically keep about 0.2 to 2.0 mg/L in the pipes, which is a common operating range rather than a legal limit.</w:t>
      </w:r>
    </w:p>
    <w:p>
      <w:pPr>
        <w:spacing w:after="120" w:line="276"/>
      </w:pPr>
      <w:r>
        <w:rPr>
          <w:sz w:val="22"/>
          <w:szCs w:val="22"/>
        </w:rPr>
        <w:t xml:space="preserve">Operator notes: (1) The highest single sample of the year was 4.4 mg/L, taken on August 12 at a sampling tap close to the plant. (2) On March 14, during a pump repair, the chlorine level in water leaving the plant dropped to 0.15 mg/L for 3 hours before returning to normal. The rule for water entering the pipes is that it must not stay below 0.2 mg/L for more than 4 hours.</w:t>
      </w:r>
    </w:p>
    <w:p>
      <w:pPr>
        <w:keepNext/>
        <w:keepLines/>
        <w:spacing w:after="120" w:line="276"/>
      </w:pPr>
      <w:r>
        <w:rPr>
          <w:b/>
          <w:bCs/>
          <w:sz w:val="22"/>
          <w:szCs w:val="22"/>
        </w:rPr>
        <w:t xml:space="preserve">Document 4. Turbidity of filtered water leaving the plant, 2025.</w:t>
      </w:r>
      <w:r>
        <w:rPr>
          <w:sz w:val="22"/>
          <w:szCs w:val="22"/>
        </w:rPr>
        <w:t xml:space="preserve"> The plant logs one combined reading every 4 hours, which is 6 readings a day.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616"/>
        <w:gridCol w:w="940"/>
        <w:gridCol w:w="1881"/>
        <w:gridCol w:w="2822"/>
        <w:gridCol w:w="2821"/>
      </w:tblGrid>
      <w:tr>
        <w:trPr>
          <w:cantSplit/>
          <w:tblHeader/>
        </w:trPr>
        <w:tc>
          <w:tcPr>
            <w:tcW w:type="dxa" w:w="161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Month</w:t>
            </w:r>
          </w:p>
        </w:tc>
        <w:tc>
          <w:tcPr>
            <w:tcW w:type="dxa" w:w="94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Days</w:t>
            </w:r>
          </w:p>
        </w:tc>
        <w:tc>
          <w:tcPr>
            <w:tcW w:type="dxa" w:w="188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Readings</w:t>
            </w:r>
          </w:p>
        </w:tc>
        <w:tc>
          <w:tcPr>
            <w:tcW w:type="dxa" w:w="282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Readings at or below 0.3 NTU</w:t>
            </w:r>
          </w:p>
        </w:tc>
        <w:tc>
          <w:tcPr>
            <w:tcW w:type="dxa" w:w="282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Highest reading (NTU)</w:t>
            </w:r>
          </w:p>
        </w:tc>
      </w:tr>
      <w:tr>
        <w:trPr>
          <w:cantSplit/>
        </w:trPr>
        <w:tc>
          <w:tcPr>
            <w:tcW w:type="dxa" w:w="1616"/>
            <w:tcMar>
              <w:top w:type="dxa" w:w="70"/>
              <w:left w:type="dxa" w:w="100"/>
              <w:bottom w:type="dxa" w:w="70"/>
              <w:right w:type="dxa" w:w="100"/>
            </w:tcMar>
            <w:vAlign w:val="top"/>
          </w:tcPr>
          <w:p>
            <w:pPr>
              <w:keepNext/>
              <w:spacing w:after="0" w:line="252"/>
              <w:jc w:val="left"/>
            </w:pPr>
            <w:r>
              <w:rPr>
                <w:sz w:val="20"/>
                <w:szCs w:val="20"/>
              </w:rPr>
              <w:t xml:space="preserve">January</w:t>
            </w:r>
          </w:p>
        </w:tc>
        <w:tc>
          <w:tcPr>
            <w:tcW w:type="dxa" w:w="940"/>
            <w:tcMar>
              <w:top w:type="dxa" w:w="70"/>
              <w:left w:type="dxa" w:w="100"/>
              <w:bottom w:type="dxa" w:w="70"/>
              <w:right w:type="dxa" w:w="100"/>
            </w:tcMar>
            <w:vAlign w:val="top"/>
          </w:tcPr>
          <w:p>
            <w:pPr>
              <w:keepNext/>
              <w:spacing w:after="0" w:line="252"/>
              <w:jc w:val="left"/>
            </w:pPr>
            <w:r>
              <w:rPr>
                <w:sz w:val="20"/>
                <w:szCs w:val="20"/>
              </w:rPr>
              <w:t xml:space="preserve">31</w:t>
            </w:r>
          </w:p>
        </w:tc>
        <w:tc>
          <w:tcPr>
            <w:tcW w:type="dxa" w:w="1881"/>
            <w:tcMar>
              <w:top w:type="dxa" w:w="70"/>
              <w:left w:type="dxa" w:w="100"/>
              <w:bottom w:type="dxa" w:w="70"/>
              <w:right w:type="dxa" w:w="100"/>
            </w:tcMar>
            <w:vAlign w:val="top"/>
          </w:tcPr>
          <w:p>
            <w:pPr>
              <w:keepNext/>
              <w:spacing w:after="0" w:line="252"/>
              <w:jc w:val="left"/>
            </w:pPr>
            <w:r>
              <w:rPr>
                <w:sz w:val="20"/>
                <w:szCs w:val="20"/>
              </w:rPr>
              <w:t xml:space="preserve">186</w:t>
            </w:r>
          </w:p>
        </w:tc>
        <w:tc>
          <w:tcPr>
            <w:tcW w:type="dxa" w:w="2822"/>
            <w:tcMar>
              <w:top w:type="dxa" w:w="70"/>
              <w:left w:type="dxa" w:w="100"/>
              <w:bottom w:type="dxa" w:w="70"/>
              <w:right w:type="dxa" w:w="100"/>
            </w:tcMar>
            <w:vAlign w:val="top"/>
          </w:tcPr>
          <w:p>
            <w:pPr>
              <w:keepNext/>
              <w:spacing w:after="0" w:line="252"/>
              <w:jc w:val="left"/>
            </w:pPr>
            <w:r>
              <w:rPr>
                <w:sz w:val="20"/>
                <w:szCs w:val="20"/>
              </w:rPr>
              <w:t xml:space="preserve">186</w:t>
            </w:r>
          </w:p>
        </w:tc>
        <w:tc>
          <w:tcPr>
            <w:tcW w:type="dxa" w:w="2821"/>
            <w:tcMar>
              <w:top w:type="dxa" w:w="70"/>
              <w:left w:type="dxa" w:w="100"/>
              <w:bottom w:type="dxa" w:w="70"/>
              <w:right w:type="dxa" w:w="100"/>
            </w:tcMar>
            <w:vAlign w:val="top"/>
          </w:tcPr>
          <w:p>
            <w:pPr>
              <w:keepNext/>
              <w:spacing w:after="0" w:line="252"/>
              <w:jc w:val="left"/>
            </w:pPr>
            <w:r>
              <w:rPr>
                <w:sz w:val="20"/>
                <w:szCs w:val="20"/>
              </w:rPr>
              <w:t xml:space="preserve">0.21</w:t>
            </w:r>
          </w:p>
        </w:tc>
      </w:tr>
      <w:tr>
        <w:trPr>
          <w:cantSplit/>
        </w:trPr>
        <w:tc>
          <w:tcPr>
            <w:tcW w:type="dxa" w:w="1616"/>
            <w:tcMar>
              <w:top w:type="dxa" w:w="70"/>
              <w:left w:type="dxa" w:w="100"/>
              <w:bottom w:type="dxa" w:w="70"/>
              <w:right w:type="dxa" w:w="100"/>
            </w:tcMar>
            <w:vAlign w:val="top"/>
          </w:tcPr>
          <w:p>
            <w:pPr>
              <w:keepNext/>
              <w:spacing w:after="0" w:line="252"/>
              <w:jc w:val="left"/>
            </w:pPr>
            <w:r>
              <w:rPr>
                <w:sz w:val="20"/>
                <w:szCs w:val="20"/>
              </w:rPr>
              <w:t xml:space="preserve">February</w:t>
            </w:r>
          </w:p>
        </w:tc>
        <w:tc>
          <w:tcPr>
            <w:tcW w:type="dxa" w:w="940"/>
            <w:tcMar>
              <w:top w:type="dxa" w:w="70"/>
              <w:left w:type="dxa" w:w="100"/>
              <w:bottom w:type="dxa" w:w="70"/>
              <w:right w:type="dxa" w:w="100"/>
            </w:tcMar>
            <w:vAlign w:val="top"/>
          </w:tcPr>
          <w:p>
            <w:pPr>
              <w:keepNext/>
              <w:spacing w:after="0" w:line="252"/>
              <w:jc w:val="left"/>
            </w:pPr>
            <w:r>
              <w:rPr>
                <w:sz w:val="20"/>
                <w:szCs w:val="20"/>
              </w:rPr>
              <w:t xml:space="preserve">28</w:t>
            </w:r>
          </w:p>
        </w:tc>
        <w:tc>
          <w:tcPr>
            <w:tcW w:type="dxa" w:w="1881"/>
            <w:tcMar>
              <w:top w:type="dxa" w:w="70"/>
              <w:left w:type="dxa" w:w="100"/>
              <w:bottom w:type="dxa" w:w="70"/>
              <w:right w:type="dxa" w:w="100"/>
            </w:tcMar>
            <w:vAlign w:val="top"/>
          </w:tcPr>
          <w:p>
            <w:pPr>
              <w:keepNext/>
              <w:spacing w:after="0" w:line="252"/>
              <w:jc w:val="left"/>
            </w:pPr>
            <w:r>
              <w:rPr>
                <w:sz w:val="20"/>
                <w:szCs w:val="20"/>
              </w:rPr>
              <w:t xml:space="preserve">168</w:t>
            </w:r>
          </w:p>
        </w:tc>
        <w:tc>
          <w:tcPr>
            <w:tcW w:type="dxa" w:w="2822"/>
            <w:tcMar>
              <w:top w:type="dxa" w:w="70"/>
              <w:left w:type="dxa" w:w="100"/>
              <w:bottom w:type="dxa" w:w="70"/>
              <w:right w:type="dxa" w:w="100"/>
            </w:tcMar>
            <w:vAlign w:val="top"/>
          </w:tcPr>
          <w:p>
            <w:pPr>
              <w:keepNext/>
              <w:spacing w:after="0" w:line="252"/>
              <w:jc w:val="left"/>
            </w:pPr>
            <w:r>
              <w:rPr>
                <w:sz w:val="20"/>
                <w:szCs w:val="20"/>
              </w:rPr>
              <w:t xml:space="preserve">168</w:t>
            </w:r>
          </w:p>
        </w:tc>
        <w:tc>
          <w:tcPr>
            <w:tcW w:type="dxa" w:w="2821"/>
            <w:tcMar>
              <w:top w:type="dxa" w:w="70"/>
              <w:left w:type="dxa" w:w="100"/>
              <w:bottom w:type="dxa" w:w="70"/>
              <w:right w:type="dxa" w:w="100"/>
            </w:tcMar>
            <w:vAlign w:val="top"/>
          </w:tcPr>
          <w:p>
            <w:pPr>
              <w:keepNext/>
              <w:spacing w:after="0" w:line="252"/>
              <w:jc w:val="left"/>
            </w:pPr>
            <w:r>
              <w:rPr>
                <w:sz w:val="20"/>
                <w:szCs w:val="20"/>
              </w:rPr>
              <w:t xml:space="preserve">0.19</w:t>
            </w:r>
          </w:p>
        </w:tc>
      </w:tr>
      <w:tr>
        <w:trPr>
          <w:cantSplit/>
        </w:trPr>
        <w:tc>
          <w:tcPr>
            <w:tcW w:type="dxa" w:w="1616"/>
            <w:tcMar>
              <w:top w:type="dxa" w:w="70"/>
              <w:left w:type="dxa" w:w="100"/>
              <w:bottom w:type="dxa" w:w="70"/>
              <w:right w:type="dxa" w:w="100"/>
            </w:tcMar>
            <w:vAlign w:val="top"/>
          </w:tcPr>
          <w:p>
            <w:pPr>
              <w:keepNext/>
              <w:spacing w:after="0" w:line="252"/>
              <w:jc w:val="left"/>
            </w:pPr>
            <w:r>
              <w:rPr>
                <w:sz w:val="20"/>
                <w:szCs w:val="20"/>
              </w:rPr>
              <w:t xml:space="preserve">March</w:t>
            </w:r>
          </w:p>
        </w:tc>
        <w:tc>
          <w:tcPr>
            <w:tcW w:type="dxa" w:w="940"/>
            <w:tcMar>
              <w:top w:type="dxa" w:w="70"/>
              <w:left w:type="dxa" w:w="100"/>
              <w:bottom w:type="dxa" w:w="70"/>
              <w:right w:type="dxa" w:w="100"/>
            </w:tcMar>
            <w:vAlign w:val="top"/>
          </w:tcPr>
          <w:p>
            <w:pPr>
              <w:keepNext/>
              <w:spacing w:after="0" w:line="252"/>
              <w:jc w:val="left"/>
            </w:pPr>
            <w:r>
              <w:rPr>
                <w:sz w:val="20"/>
                <w:szCs w:val="20"/>
              </w:rPr>
              <w:t xml:space="preserve">31</w:t>
            </w:r>
          </w:p>
        </w:tc>
        <w:tc>
          <w:tcPr>
            <w:tcW w:type="dxa" w:w="1881"/>
            <w:tcMar>
              <w:top w:type="dxa" w:w="70"/>
              <w:left w:type="dxa" w:w="100"/>
              <w:bottom w:type="dxa" w:w="70"/>
              <w:right w:type="dxa" w:w="100"/>
            </w:tcMar>
            <w:vAlign w:val="top"/>
          </w:tcPr>
          <w:p>
            <w:pPr>
              <w:keepNext/>
              <w:spacing w:after="0" w:line="252"/>
              <w:jc w:val="left"/>
            </w:pPr>
            <w:r>
              <w:rPr>
                <w:sz w:val="20"/>
                <w:szCs w:val="20"/>
              </w:rPr>
              <w:t xml:space="preserve">186</w:t>
            </w:r>
          </w:p>
        </w:tc>
        <w:tc>
          <w:tcPr>
            <w:tcW w:type="dxa" w:w="2822"/>
            <w:tcMar>
              <w:top w:type="dxa" w:w="70"/>
              <w:left w:type="dxa" w:w="100"/>
              <w:bottom w:type="dxa" w:w="70"/>
              <w:right w:type="dxa" w:w="100"/>
            </w:tcMar>
            <w:vAlign w:val="top"/>
          </w:tcPr>
          <w:p>
            <w:pPr>
              <w:keepNext/>
              <w:spacing w:after="0" w:line="252"/>
              <w:jc w:val="left"/>
            </w:pPr>
            <w:r>
              <w:rPr>
                <w:sz w:val="20"/>
                <w:szCs w:val="20"/>
              </w:rPr>
              <w:t xml:space="preserve">183</w:t>
            </w:r>
          </w:p>
        </w:tc>
        <w:tc>
          <w:tcPr>
            <w:tcW w:type="dxa" w:w="2821"/>
            <w:tcMar>
              <w:top w:type="dxa" w:w="70"/>
              <w:left w:type="dxa" w:w="100"/>
              <w:bottom w:type="dxa" w:w="70"/>
              <w:right w:type="dxa" w:w="100"/>
            </w:tcMar>
            <w:vAlign w:val="top"/>
          </w:tcPr>
          <w:p>
            <w:pPr>
              <w:keepNext/>
              <w:spacing w:after="0" w:line="252"/>
              <w:jc w:val="left"/>
            </w:pPr>
            <w:r>
              <w:rPr>
                <w:sz w:val="20"/>
                <w:szCs w:val="20"/>
              </w:rPr>
              <w:t xml:space="preserve">0.38</w:t>
            </w:r>
          </w:p>
        </w:tc>
      </w:tr>
      <w:tr>
        <w:trPr>
          <w:cantSplit/>
        </w:trPr>
        <w:tc>
          <w:tcPr>
            <w:tcW w:type="dxa" w:w="1616"/>
            <w:tcMar>
              <w:top w:type="dxa" w:w="70"/>
              <w:left w:type="dxa" w:w="100"/>
              <w:bottom w:type="dxa" w:w="70"/>
              <w:right w:type="dxa" w:w="100"/>
            </w:tcMar>
            <w:vAlign w:val="top"/>
          </w:tcPr>
          <w:p>
            <w:pPr>
              <w:keepNext/>
              <w:spacing w:after="0" w:line="252"/>
              <w:jc w:val="left"/>
            </w:pPr>
            <w:r>
              <w:rPr>
                <w:sz w:val="20"/>
                <w:szCs w:val="20"/>
              </w:rPr>
              <w:t xml:space="preserve">April</w:t>
            </w:r>
          </w:p>
        </w:tc>
        <w:tc>
          <w:tcPr>
            <w:tcW w:type="dxa" w:w="940"/>
            <w:tcMar>
              <w:top w:type="dxa" w:w="70"/>
              <w:left w:type="dxa" w:w="100"/>
              <w:bottom w:type="dxa" w:w="70"/>
              <w:right w:type="dxa" w:w="100"/>
            </w:tcMar>
            <w:vAlign w:val="top"/>
          </w:tcPr>
          <w:p>
            <w:pPr>
              <w:keepNext/>
              <w:spacing w:after="0" w:line="252"/>
              <w:jc w:val="left"/>
            </w:pPr>
            <w:r>
              <w:rPr>
                <w:sz w:val="20"/>
                <w:szCs w:val="20"/>
              </w:rPr>
              <w:t xml:space="preserve">30</w:t>
            </w:r>
          </w:p>
        </w:tc>
        <w:tc>
          <w:tcPr>
            <w:tcW w:type="dxa" w:w="1881"/>
            <w:tcMar>
              <w:top w:type="dxa" w:w="70"/>
              <w:left w:type="dxa" w:w="100"/>
              <w:bottom w:type="dxa" w:w="70"/>
              <w:right w:type="dxa" w:w="100"/>
            </w:tcMar>
            <w:vAlign w:val="top"/>
          </w:tcPr>
          <w:p>
            <w:pPr>
              <w:keepNext/>
              <w:spacing w:after="0" w:line="252"/>
              <w:jc w:val="left"/>
            </w:pPr>
            <w:r>
              <w:rPr>
                <w:sz w:val="20"/>
                <w:szCs w:val="20"/>
              </w:rPr>
              <w:t xml:space="preserve">180</w:t>
            </w:r>
          </w:p>
        </w:tc>
        <w:tc>
          <w:tcPr>
            <w:tcW w:type="dxa" w:w="2822"/>
            <w:tcMar>
              <w:top w:type="dxa" w:w="70"/>
              <w:left w:type="dxa" w:w="100"/>
              <w:bottom w:type="dxa" w:w="70"/>
              <w:right w:type="dxa" w:w="100"/>
            </w:tcMar>
            <w:vAlign w:val="top"/>
          </w:tcPr>
          <w:p>
            <w:pPr>
              <w:keepNext/>
              <w:spacing w:after="0" w:line="252"/>
              <w:jc w:val="left"/>
            </w:pPr>
            <w:r>
              <w:rPr>
                <w:sz w:val="20"/>
                <w:szCs w:val="20"/>
              </w:rPr>
              <w:t xml:space="preserve">180</w:t>
            </w:r>
          </w:p>
        </w:tc>
        <w:tc>
          <w:tcPr>
            <w:tcW w:type="dxa" w:w="2821"/>
            <w:tcMar>
              <w:top w:type="dxa" w:w="70"/>
              <w:left w:type="dxa" w:w="100"/>
              <w:bottom w:type="dxa" w:w="70"/>
              <w:right w:type="dxa" w:w="100"/>
            </w:tcMar>
            <w:vAlign w:val="top"/>
          </w:tcPr>
          <w:p>
            <w:pPr>
              <w:keepNext/>
              <w:spacing w:after="0" w:line="252"/>
              <w:jc w:val="left"/>
            </w:pPr>
            <w:r>
              <w:rPr>
                <w:sz w:val="20"/>
                <w:szCs w:val="20"/>
              </w:rPr>
              <w:t xml:space="preserve">0.24</w:t>
            </w:r>
          </w:p>
        </w:tc>
      </w:tr>
      <w:tr>
        <w:trPr>
          <w:cantSplit/>
        </w:trPr>
        <w:tc>
          <w:tcPr>
            <w:tcW w:type="dxa" w:w="1616"/>
            <w:tcMar>
              <w:top w:type="dxa" w:w="70"/>
              <w:left w:type="dxa" w:w="100"/>
              <w:bottom w:type="dxa" w:w="70"/>
              <w:right w:type="dxa" w:w="100"/>
            </w:tcMar>
            <w:vAlign w:val="top"/>
          </w:tcPr>
          <w:p>
            <w:pPr>
              <w:keepNext/>
              <w:spacing w:after="0" w:line="252"/>
              <w:jc w:val="left"/>
            </w:pPr>
            <w:r>
              <w:rPr>
                <w:sz w:val="20"/>
                <w:szCs w:val="20"/>
              </w:rPr>
              <w:t xml:space="preserve">May</w:t>
            </w:r>
          </w:p>
        </w:tc>
        <w:tc>
          <w:tcPr>
            <w:tcW w:type="dxa" w:w="940"/>
            <w:tcMar>
              <w:top w:type="dxa" w:w="70"/>
              <w:left w:type="dxa" w:w="100"/>
              <w:bottom w:type="dxa" w:w="70"/>
              <w:right w:type="dxa" w:w="100"/>
            </w:tcMar>
            <w:vAlign w:val="top"/>
          </w:tcPr>
          <w:p>
            <w:pPr>
              <w:keepNext/>
              <w:spacing w:after="0" w:line="252"/>
              <w:jc w:val="left"/>
            </w:pPr>
            <w:r>
              <w:rPr>
                <w:sz w:val="20"/>
                <w:szCs w:val="20"/>
              </w:rPr>
              <w:t xml:space="preserve">31</w:t>
            </w:r>
          </w:p>
        </w:tc>
        <w:tc>
          <w:tcPr>
            <w:tcW w:type="dxa" w:w="1881"/>
            <w:tcMar>
              <w:top w:type="dxa" w:w="70"/>
              <w:left w:type="dxa" w:w="100"/>
              <w:bottom w:type="dxa" w:w="70"/>
              <w:right w:type="dxa" w:w="100"/>
            </w:tcMar>
            <w:vAlign w:val="top"/>
          </w:tcPr>
          <w:p>
            <w:pPr>
              <w:keepNext/>
              <w:spacing w:after="0" w:line="252"/>
              <w:jc w:val="left"/>
            </w:pPr>
            <w:r>
              <w:rPr>
                <w:sz w:val="20"/>
                <w:szCs w:val="20"/>
              </w:rPr>
              <w:t xml:space="preserve">186</w:t>
            </w:r>
          </w:p>
        </w:tc>
        <w:tc>
          <w:tcPr>
            <w:tcW w:type="dxa" w:w="2822"/>
            <w:tcMar>
              <w:top w:type="dxa" w:w="70"/>
              <w:left w:type="dxa" w:w="100"/>
              <w:bottom w:type="dxa" w:w="70"/>
              <w:right w:type="dxa" w:w="100"/>
            </w:tcMar>
            <w:vAlign w:val="top"/>
          </w:tcPr>
          <w:p>
            <w:pPr>
              <w:keepNext/>
              <w:spacing w:after="0" w:line="252"/>
              <w:jc w:val="left"/>
            </w:pPr>
            <w:r>
              <w:rPr>
                <w:sz w:val="20"/>
                <w:szCs w:val="20"/>
              </w:rPr>
              <w:t xml:space="preserve">186</w:t>
            </w:r>
          </w:p>
        </w:tc>
        <w:tc>
          <w:tcPr>
            <w:tcW w:type="dxa" w:w="2821"/>
            <w:tcMar>
              <w:top w:type="dxa" w:w="70"/>
              <w:left w:type="dxa" w:w="100"/>
              <w:bottom w:type="dxa" w:w="70"/>
              <w:right w:type="dxa" w:w="100"/>
            </w:tcMar>
            <w:vAlign w:val="top"/>
          </w:tcPr>
          <w:p>
            <w:pPr>
              <w:keepNext/>
              <w:spacing w:after="0" w:line="252"/>
              <w:jc w:val="left"/>
            </w:pPr>
            <w:r>
              <w:rPr>
                <w:sz w:val="20"/>
                <w:szCs w:val="20"/>
              </w:rPr>
              <w:t xml:space="preserve">0.22</w:t>
            </w:r>
          </w:p>
        </w:tc>
      </w:tr>
      <w:tr>
        <w:trPr>
          <w:cantSplit/>
        </w:trPr>
        <w:tc>
          <w:tcPr>
            <w:tcW w:type="dxa" w:w="1616"/>
            <w:tcMar>
              <w:top w:type="dxa" w:w="70"/>
              <w:left w:type="dxa" w:w="100"/>
              <w:bottom w:type="dxa" w:w="70"/>
              <w:right w:type="dxa" w:w="100"/>
            </w:tcMar>
            <w:vAlign w:val="top"/>
          </w:tcPr>
          <w:p>
            <w:pPr>
              <w:keepNext/>
              <w:spacing w:after="0" w:line="252"/>
              <w:jc w:val="left"/>
            </w:pPr>
            <w:r>
              <w:rPr>
                <w:sz w:val="20"/>
                <w:szCs w:val="20"/>
              </w:rPr>
              <w:t xml:space="preserve">June</w:t>
            </w:r>
          </w:p>
        </w:tc>
        <w:tc>
          <w:tcPr>
            <w:tcW w:type="dxa" w:w="940"/>
            <w:tcMar>
              <w:top w:type="dxa" w:w="70"/>
              <w:left w:type="dxa" w:w="100"/>
              <w:bottom w:type="dxa" w:w="70"/>
              <w:right w:type="dxa" w:w="100"/>
            </w:tcMar>
            <w:vAlign w:val="top"/>
          </w:tcPr>
          <w:p>
            <w:pPr>
              <w:keepNext/>
              <w:spacing w:after="0" w:line="252"/>
              <w:jc w:val="left"/>
            </w:pPr>
            <w:r>
              <w:rPr>
                <w:sz w:val="20"/>
                <w:szCs w:val="20"/>
              </w:rPr>
              <w:t xml:space="preserve">30</w:t>
            </w:r>
          </w:p>
        </w:tc>
        <w:tc>
          <w:tcPr>
            <w:tcW w:type="dxa" w:w="1881"/>
            <w:tcMar>
              <w:top w:type="dxa" w:w="70"/>
              <w:left w:type="dxa" w:w="100"/>
              <w:bottom w:type="dxa" w:w="70"/>
              <w:right w:type="dxa" w:w="100"/>
            </w:tcMar>
            <w:vAlign w:val="top"/>
          </w:tcPr>
          <w:p>
            <w:pPr>
              <w:keepNext/>
              <w:spacing w:after="0" w:line="252"/>
              <w:jc w:val="left"/>
            </w:pPr>
            <w:r>
              <w:rPr>
                <w:sz w:val="20"/>
                <w:szCs w:val="20"/>
              </w:rPr>
              <w:t xml:space="preserve">180</w:t>
            </w:r>
          </w:p>
        </w:tc>
        <w:tc>
          <w:tcPr>
            <w:tcW w:type="dxa" w:w="2822"/>
            <w:tcMar>
              <w:top w:type="dxa" w:w="70"/>
              <w:left w:type="dxa" w:w="100"/>
              <w:bottom w:type="dxa" w:w="70"/>
              <w:right w:type="dxa" w:w="100"/>
            </w:tcMar>
            <w:vAlign w:val="top"/>
          </w:tcPr>
          <w:p>
            <w:pPr>
              <w:keepNext/>
              <w:spacing w:after="0" w:line="252"/>
              <w:jc w:val="left"/>
            </w:pPr>
            <w:r>
              <w:rPr>
                <w:sz w:val="20"/>
                <w:szCs w:val="20"/>
              </w:rPr>
              <w:t xml:space="preserve">174</w:t>
            </w:r>
          </w:p>
        </w:tc>
        <w:tc>
          <w:tcPr>
            <w:tcW w:type="dxa" w:w="2821"/>
            <w:tcMar>
              <w:top w:type="dxa" w:w="70"/>
              <w:left w:type="dxa" w:w="100"/>
              <w:bottom w:type="dxa" w:w="70"/>
              <w:right w:type="dxa" w:w="100"/>
            </w:tcMar>
            <w:vAlign w:val="top"/>
          </w:tcPr>
          <w:p>
            <w:pPr>
              <w:keepNext/>
              <w:spacing w:after="0" w:line="252"/>
              <w:jc w:val="left"/>
            </w:pPr>
            <w:r>
              <w:rPr>
                <w:sz w:val="20"/>
                <w:szCs w:val="20"/>
              </w:rPr>
              <w:t xml:space="preserve">0.46</w:t>
            </w:r>
          </w:p>
        </w:tc>
      </w:tr>
      <w:tr>
        <w:trPr>
          <w:cantSplit/>
        </w:trPr>
        <w:tc>
          <w:tcPr>
            <w:tcW w:type="dxa" w:w="1616"/>
            <w:tcMar>
              <w:top w:type="dxa" w:w="70"/>
              <w:left w:type="dxa" w:w="100"/>
              <w:bottom w:type="dxa" w:w="70"/>
              <w:right w:type="dxa" w:w="100"/>
            </w:tcMar>
            <w:vAlign w:val="top"/>
          </w:tcPr>
          <w:p>
            <w:pPr>
              <w:keepNext/>
              <w:spacing w:after="0" w:line="252"/>
              <w:jc w:val="left"/>
            </w:pPr>
            <w:r>
              <w:rPr>
                <w:sz w:val="20"/>
                <w:szCs w:val="20"/>
              </w:rPr>
              <w:t xml:space="preserve">July</w:t>
            </w:r>
          </w:p>
        </w:tc>
        <w:tc>
          <w:tcPr>
            <w:tcW w:type="dxa" w:w="940"/>
            <w:tcMar>
              <w:top w:type="dxa" w:w="70"/>
              <w:left w:type="dxa" w:w="100"/>
              <w:bottom w:type="dxa" w:w="70"/>
              <w:right w:type="dxa" w:w="100"/>
            </w:tcMar>
            <w:vAlign w:val="top"/>
          </w:tcPr>
          <w:p>
            <w:pPr>
              <w:keepNext/>
              <w:spacing w:after="0" w:line="252"/>
              <w:jc w:val="left"/>
            </w:pPr>
            <w:r>
              <w:rPr>
                <w:sz w:val="20"/>
                <w:szCs w:val="20"/>
              </w:rPr>
              <w:t xml:space="preserve">31</w:t>
            </w:r>
          </w:p>
        </w:tc>
        <w:tc>
          <w:tcPr>
            <w:tcW w:type="dxa" w:w="1881"/>
            <w:tcMar>
              <w:top w:type="dxa" w:w="70"/>
              <w:left w:type="dxa" w:w="100"/>
              <w:bottom w:type="dxa" w:w="70"/>
              <w:right w:type="dxa" w:w="100"/>
            </w:tcMar>
            <w:vAlign w:val="top"/>
          </w:tcPr>
          <w:p>
            <w:pPr>
              <w:keepNext/>
              <w:spacing w:after="0" w:line="252"/>
              <w:jc w:val="left"/>
            </w:pPr>
            <w:r>
              <w:rPr>
                <w:sz w:val="20"/>
                <w:szCs w:val="20"/>
              </w:rPr>
              <w:t xml:space="preserve">186</w:t>
            </w:r>
          </w:p>
        </w:tc>
        <w:tc>
          <w:tcPr>
            <w:tcW w:type="dxa" w:w="2822"/>
            <w:tcMar>
              <w:top w:type="dxa" w:w="70"/>
              <w:left w:type="dxa" w:w="100"/>
              <w:bottom w:type="dxa" w:w="70"/>
              <w:right w:type="dxa" w:w="100"/>
            </w:tcMar>
            <w:vAlign w:val="top"/>
          </w:tcPr>
          <w:p>
            <w:pPr>
              <w:keepNext/>
              <w:spacing w:after="0" w:line="252"/>
              <w:jc w:val="left"/>
            </w:pPr>
            <w:r>
              <w:rPr>
                <w:sz w:val="20"/>
                <w:szCs w:val="20"/>
              </w:rPr>
              <w:t xml:space="preserve">181</w:t>
            </w:r>
          </w:p>
        </w:tc>
        <w:tc>
          <w:tcPr>
            <w:tcW w:type="dxa" w:w="2821"/>
            <w:tcMar>
              <w:top w:type="dxa" w:w="70"/>
              <w:left w:type="dxa" w:w="100"/>
              <w:bottom w:type="dxa" w:w="70"/>
              <w:right w:type="dxa" w:w="100"/>
            </w:tcMar>
            <w:vAlign w:val="top"/>
          </w:tcPr>
          <w:p>
            <w:pPr>
              <w:keepNext/>
              <w:spacing w:after="0" w:line="252"/>
              <w:jc w:val="left"/>
            </w:pPr>
            <w:r>
              <w:rPr>
                <w:sz w:val="20"/>
                <w:szCs w:val="20"/>
              </w:rPr>
              <w:t xml:space="preserve">0.41</w:t>
            </w:r>
          </w:p>
        </w:tc>
      </w:tr>
      <w:tr>
        <w:trPr>
          <w:cantSplit/>
        </w:trPr>
        <w:tc>
          <w:tcPr>
            <w:tcW w:type="dxa" w:w="1616"/>
            <w:tcMar>
              <w:top w:type="dxa" w:w="70"/>
              <w:left w:type="dxa" w:w="100"/>
              <w:bottom w:type="dxa" w:w="70"/>
              <w:right w:type="dxa" w:w="100"/>
            </w:tcMar>
            <w:vAlign w:val="top"/>
          </w:tcPr>
          <w:p>
            <w:pPr>
              <w:keepNext/>
              <w:spacing w:after="0" w:line="252"/>
              <w:jc w:val="left"/>
            </w:pPr>
            <w:r>
              <w:rPr>
                <w:sz w:val="20"/>
                <w:szCs w:val="20"/>
              </w:rPr>
              <w:t xml:space="preserve">August</w:t>
            </w:r>
          </w:p>
        </w:tc>
        <w:tc>
          <w:tcPr>
            <w:tcW w:type="dxa" w:w="940"/>
            <w:tcMar>
              <w:top w:type="dxa" w:w="70"/>
              <w:left w:type="dxa" w:w="100"/>
              <w:bottom w:type="dxa" w:w="70"/>
              <w:right w:type="dxa" w:w="100"/>
            </w:tcMar>
            <w:vAlign w:val="top"/>
          </w:tcPr>
          <w:p>
            <w:pPr>
              <w:keepNext/>
              <w:spacing w:after="0" w:line="252"/>
              <w:jc w:val="left"/>
            </w:pPr>
            <w:r>
              <w:rPr>
                <w:sz w:val="20"/>
                <w:szCs w:val="20"/>
              </w:rPr>
              <w:t xml:space="preserve">31</w:t>
            </w:r>
          </w:p>
        </w:tc>
        <w:tc>
          <w:tcPr>
            <w:tcW w:type="dxa" w:w="1881"/>
            <w:tcMar>
              <w:top w:type="dxa" w:w="70"/>
              <w:left w:type="dxa" w:w="100"/>
              <w:bottom w:type="dxa" w:w="70"/>
              <w:right w:type="dxa" w:w="100"/>
            </w:tcMar>
            <w:vAlign w:val="top"/>
          </w:tcPr>
          <w:p>
            <w:pPr>
              <w:keepNext/>
              <w:spacing w:after="0" w:line="252"/>
              <w:jc w:val="left"/>
            </w:pPr>
            <w:r>
              <w:rPr>
                <w:sz w:val="20"/>
                <w:szCs w:val="20"/>
              </w:rPr>
              <w:t xml:space="preserve">186</w:t>
            </w:r>
          </w:p>
        </w:tc>
        <w:tc>
          <w:tcPr>
            <w:tcW w:type="dxa" w:w="2822"/>
            <w:tcMar>
              <w:top w:type="dxa" w:w="70"/>
              <w:left w:type="dxa" w:w="100"/>
              <w:bottom w:type="dxa" w:w="70"/>
              <w:right w:type="dxa" w:w="100"/>
            </w:tcMar>
            <w:vAlign w:val="top"/>
          </w:tcPr>
          <w:p>
            <w:pPr>
              <w:keepNext/>
              <w:spacing w:after="0" w:line="252"/>
              <w:jc w:val="left"/>
            </w:pPr>
            <w:r>
              <w:rPr>
                <w:sz w:val="20"/>
                <w:szCs w:val="20"/>
              </w:rPr>
              <w:t xml:space="preserve">186</w:t>
            </w:r>
          </w:p>
        </w:tc>
        <w:tc>
          <w:tcPr>
            <w:tcW w:type="dxa" w:w="2821"/>
            <w:tcMar>
              <w:top w:type="dxa" w:w="70"/>
              <w:left w:type="dxa" w:w="100"/>
              <w:bottom w:type="dxa" w:w="70"/>
              <w:right w:type="dxa" w:w="100"/>
            </w:tcMar>
            <w:vAlign w:val="top"/>
          </w:tcPr>
          <w:p>
            <w:pPr>
              <w:keepNext/>
              <w:spacing w:after="0" w:line="252"/>
              <w:jc w:val="left"/>
            </w:pPr>
            <w:r>
              <w:rPr>
                <w:sz w:val="20"/>
                <w:szCs w:val="20"/>
              </w:rPr>
              <w:t xml:space="preserve">0.27</w:t>
            </w:r>
          </w:p>
        </w:tc>
      </w:tr>
      <w:tr>
        <w:trPr>
          <w:cantSplit/>
        </w:trPr>
        <w:tc>
          <w:tcPr>
            <w:tcW w:type="dxa" w:w="1616"/>
            <w:tcMar>
              <w:top w:type="dxa" w:w="70"/>
              <w:left w:type="dxa" w:w="100"/>
              <w:bottom w:type="dxa" w:w="70"/>
              <w:right w:type="dxa" w:w="100"/>
            </w:tcMar>
            <w:vAlign w:val="top"/>
          </w:tcPr>
          <w:p>
            <w:pPr>
              <w:keepNext/>
              <w:spacing w:after="0" w:line="252"/>
              <w:jc w:val="left"/>
            </w:pPr>
            <w:r>
              <w:rPr>
                <w:sz w:val="20"/>
                <w:szCs w:val="20"/>
              </w:rPr>
              <w:t xml:space="preserve">September</w:t>
            </w:r>
          </w:p>
        </w:tc>
        <w:tc>
          <w:tcPr>
            <w:tcW w:type="dxa" w:w="940"/>
            <w:tcMar>
              <w:top w:type="dxa" w:w="70"/>
              <w:left w:type="dxa" w:w="100"/>
              <w:bottom w:type="dxa" w:w="70"/>
              <w:right w:type="dxa" w:w="100"/>
            </w:tcMar>
            <w:vAlign w:val="top"/>
          </w:tcPr>
          <w:p>
            <w:pPr>
              <w:keepNext/>
              <w:spacing w:after="0" w:line="252"/>
              <w:jc w:val="left"/>
            </w:pPr>
            <w:r>
              <w:rPr>
                <w:sz w:val="20"/>
                <w:szCs w:val="20"/>
              </w:rPr>
              <w:t xml:space="preserve">30</w:t>
            </w:r>
          </w:p>
        </w:tc>
        <w:tc>
          <w:tcPr>
            <w:tcW w:type="dxa" w:w="1881"/>
            <w:tcMar>
              <w:top w:type="dxa" w:w="70"/>
              <w:left w:type="dxa" w:w="100"/>
              <w:bottom w:type="dxa" w:w="70"/>
              <w:right w:type="dxa" w:w="100"/>
            </w:tcMar>
            <w:vAlign w:val="top"/>
          </w:tcPr>
          <w:p>
            <w:pPr>
              <w:keepNext/>
              <w:spacing w:after="0" w:line="252"/>
              <w:jc w:val="left"/>
            </w:pPr>
            <w:r>
              <w:rPr>
                <w:sz w:val="20"/>
                <w:szCs w:val="20"/>
              </w:rPr>
              <w:t xml:space="preserve">180</w:t>
            </w:r>
          </w:p>
        </w:tc>
        <w:tc>
          <w:tcPr>
            <w:tcW w:type="dxa" w:w="2822"/>
            <w:tcMar>
              <w:top w:type="dxa" w:w="70"/>
              <w:left w:type="dxa" w:w="100"/>
              <w:bottom w:type="dxa" w:w="70"/>
              <w:right w:type="dxa" w:w="100"/>
            </w:tcMar>
            <w:vAlign w:val="top"/>
          </w:tcPr>
          <w:p>
            <w:pPr>
              <w:keepNext/>
              <w:spacing w:after="0" w:line="252"/>
              <w:jc w:val="left"/>
            </w:pPr>
            <w:r>
              <w:rPr>
                <w:sz w:val="20"/>
                <w:szCs w:val="20"/>
              </w:rPr>
              <w:t xml:space="preserve">180</w:t>
            </w:r>
          </w:p>
        </w:tc>
        <w:tc>
          <w:tcPr>
            <w:tcW w:type="dxa" w:w="2821"/>
            <w:tcMar>
              <w:top w:type="dxa" w:w="70"/>
              <w:left w:type="dxa" w:w="100"/>
              <w:bottom w:type="dxa" w:w="70"/>
              <w:right w:type="dxa" w:w="100"/>
            </w:tcMar>
            <w:vAlign w:val="top"/>
          </w:tcPr>
          <w:p>
            <w:pPr>
              <w:keepNext/>
              <w:spacing w:after="0" w:line="252"/>
              <w:jc w:val="left"/>
            </w:pPr>
            <w:r>
              <w:rPr>
                <w:sz w:val="20"/>
                <w:szCs w:val="20"/>
              </w:rPr>
              <w:t xml:space="preserve">0.20</w:t>
            </w:r>
          </w:p>
        </w:tc>
      </w:tr>
      <w:tr>
        <w:trPr>
          <w:cantSplit/>
        </w:trPr>
        <w:tc>
          <w:tcPr>
            <w:tcW w:type="dxa" w:w="1616"/>
            <w:tcMar>
              <w:top w:type="dxa" w:w="70"/>
              <w:left w:type="dxa" w:w="100"/>
              <w:bottom w:type="dxa" w:w="70"/>
              <w:right w:type="dxa" w:w="100"/>
            </w:tcMar>
            <w:vAlign w:val="top"/>
          </w:tcPr>
          <w:p>
            <w:pPr>
              <w:keepNext/>
              <w:spacing w:after="0" w:line="252"/>
              <w:jc w:val="left"/>
            </w:pPr>
            <w:r>
              <w:rPr>
                <w:sz w:val="20"/>
                <w:szCs w:val="20"/>
              </w:rPr>
              <w:t xml:space="preserve">October</w:t>
            </w:r>
          </w:p>
        </w:tc>
        <w:tc>
          <w:tcPr>
            <w:tcW w:type="dxa" w:w="940"/>
            <w:tcMar>
              <w:top w:type="dxa" w:w="70"/>
              <w:left w:type="dxa" w:w="100"/>
              <w:bottom w:type="dxa" w:w="70"/>
              <w:right w:type="dxa" w:w="100"/>
            </w:tcMar>
            <w:vAlign w:val="top"/>
          </w:tcPr>
          <w:p>
            <w:pPr>
              <w:keepNext/>
              <w:spacing w:after="0" w:line="252"/>
              <w:jc w:val="left"/>
            </w:pPr>
            <w:r>
              <w:rPr>
                <w:sz w:val="20"/>
                <w:szCs w:val="20"/>
              </w:rPr>
              <w:t xml:space="preserve">31</w:t>
            </w:r>
          </w:p>
        </w:tc>
        <w:tc>
          <w:tcPr>
            <w:tcW w:type="dxa" w:w="1881"/>
            <w:tcMar>
              <w:top w:type="dxa" w:w="70"/>
              <w:left w:type="dxa" w:w="100"/>
              <w:bottom w:type="dxa" w:w="70"/>
              <w:right w:type="dxa" w:w="100"/>
            </w:tcMar>
            <w:vAlign w:val="top"/>
          </w:tcPr>
          <w:p>
            <w:pPr>
              <w:keepNext/>
              <w:spacing w:after="0" w:line="252"/>
              <w:jc w:val="left"/>
            </w:pPr>
            <w:r>
              <w:rPr>
                <w:sz w:val="20"/>
                <w:szCs w:val="20"/>
              </w:rPr>
              <w:t xml:space="preserve">186</w:t>
            </w:r>
          </w:p>
        </w:tc>
        <w:tc>
          <w:tcPr>
            <w:tcW w:type="dxa" w:w="2822"/>
            <w:tcMar>
              <w:top w:type="dxa" w:w="70"/>
              <w:left w:type="dxa" w:w="100"/>
              <w:bottom w:type="dxa" w:w="70"/>
              <w:right w:type="dxa" w:w="100"/>
            </w:tcMar>
            <w:vAlign w:val="top"/>
          </w:tcPr>
          <w:p>
            <w:pPr>
              <w:keepNext/>
              <w:spacing w:after="0" w:line="252"/>
              <w:jc w:val="left"/>
            </w:pPr>
            <w:r>
              <w:rPr>
                <w:sz w:val="20"/>
                <w:szCs w:val="20"/>
              </w:rPr>
              <w:t xml:space="preserve">186</w:t>
            </w:r>
          </w:p>
        </w:tc>
        <w:tc>
          <w:tcPr>
            <w:tcW w:type="dxa" w:w="2821"/>
            <w:tcMar>
              <w:top w:type="dxa" w:w="70"/>
              <w:left w:type="dxa" w:w="100"/>
              <w:bottom w:type="dxa" w:w="70"/>
              <w:right w:type="dxa" w:w="100"/>
            </w:tcMar>
            <w:vAlign w:val="top"/>
          </w:tcPr>
          <w:p>
            <w:pPr>
              <w:keepNext/>
              <w:spacing w:after="0" w:line="252"/>
              <w:jc w:val="left"/>
            </w:pPr>
            <w:r>
              <w:rPr>
                <w:sz w:val="20"/>
                <w:szCs w:val="20"/>
              </w:rPr>
              <w:t xml:space="preserve">0.18</w:t>
            </w:r>
          </w:p>
        </w:tc>
      </w:tr>
      <w:tr>
        <w:trPr>
          <w:cantSplit/>
        </w:trPr>
        <w:tc>
          <w:tcPr>
            <w:tcW w:type="dxa" w:w="1616"/>
            <w:tcMar>
              <w:top w:type="dxa" w:w="70"/>
              <w:left w:type="dxa" w:w="100"/>
              <w:bottom w:type="dxa" w:w="70"/>
              <w:right w:type="dxa" w:w="100"/>
            </w:tcMar>
            <w:vAlign w:val="top"/>
          </w:tcPr>
          <w:p>
            <w:pPr>
              <w:keepNext/>
              <w:spacing w:after="0" w:line="252"/>
              <w:jc w:val="left"/>
            </w:pPr>
            <w:r>
              <w:rPr>
                <w:sz w:val="20"/>
                <w:szCs w:val="20"/>
              </w:rPr>
              <w:t xml:space="preserve">November</w:t>
            </w:r>
          </w:p>
        </w:tc>
        <w:tc>
          <w:tcPr>
            <w:tcW w:type="dxa" w:w="940"/>
            <w:tcMar>
              <w:top w:type="dxa" w:w="70"/>
              <w:left w:type="dxa" w:w="100"/>
              <w:bottom w:type="dxa" w:w="70"/>
              <w:right w:type="dxa" w:w="100"/>
            </w:tcMar>
            <w:vAlign w:val="top"/>
          </w:tcPr>
          <w:p>
            <w:pPr>
              <w:keepNext/>
              <w:spacing w:after="0" w:line="252"/>
              <w:jc w:val="left"/>
            </w:pPr>
            <w:r>
              <w:rPr>
                <w:sz w:val="20"/>
                <w:szCs w:val="20"/>
              </w:rPr>
              <w:t xml:space="preserve">30</w:t>
            </w:r>
          </w:p>
        </w:tc>
        <w:tc>
          <w:tcPr>
            <w:tcW w:type="dxa" w:w="1881"/>
            <w:tcMar>
              <w:top w:type="dxa" w:w="70"/>
              <w:left w:type="dxa" w:w="100"/>
              <w:bottom w:type="dxa" w:w="70"/>
              <w:right w:type="dxa" w:w="100"/>
            </w:tcMar>
            <w:vAlign w:val="top"/>
          </w:tcPr>
          <w:p>
            <w:pPr>
              <w:keepNext/>
              <w:spacing w:after="0" w:line="252"/>
              <w:jc w:val="left"/>
            </w:pPr>
            <w:r>
              <w:rPr>
                <w:sz w:val="20"/>
                <w:szCs w:val="20"/>
              </w:rPr>
              <w:t xml:space="preserve">180</w:t>
            </w:r>
          </w:p>
        </w:tc>
        <w:tc>
          <w:tcPr>
            <w:tcW w:type="dxa" w:w="2822"/>
            <w:tcMar>
              <w:top w:type="dxa" w:w="70"/>
              <w:left w:type="dxa" w:w="100"/>
              <w:bottom w:type="dxa" w:w="70"/>
              <w:right w:type="dxa" w:w="100"/>
            </w:tcMar>
            <w:vAlign w:val="top"/>
          </w:tcPr>
          <w:p>
            <w:pPr>
              <w:keepNext/>
              <w:spacing w:after="0" w:line="252"/>
              <w:jc w:val="left"/>
            </w:pPr>
            <w:r>
              <w:rPr>
                <w:sz w:val="20"/>
                <w:szCs w:val="20"/>
              </w:rPr>
              <w:t xml:space="preserve">180</w:t>
            </w:r>
          </w:p>
        </w:tc>
        <w:tc>
          <w:tcPr>
            <w:tcW w:type="dxa" w:w="2821"/>
            <w:tcMar>
              <w:top w:type="dxa" w:w="70"/>
              <w:left w:type="dxa" w:w="100"/>
              <w:bottom w:type="dxa" w:w="70"/>
              <w:right w:type="dxa" w:w="100"/>
            </w:tcMar>
            <w:vAlign w:val="top"/>
          </w:tcPr>
          <w:p>
            <w:pPr>
              <w:keepNext/>
              <w:spacing w:after="0" w:line="252"/>
              <w:jc w:val="left"/>
            </w:pPr>
            <w:r>
              <w:rPr>
                <w:sz w:val="20"/>
                <w:szCs w:val="20"/>
              </w:rPr>
              <w:t xml:space="preserve">0.17</w:t>
            </w:r>
          </w:p>
        </w:tc>
      </w:tr>
      <w:tr>
        <w:trPr>
          <w:cantSplit/>
        </w:trPr>
        <w:tc>
          <w:tcPr>
            <w:tcW w:type="dxa" w:w="1616"/>
            <w:tcMar>
              <w:top w:type="dxa" w:w="70"/>
              <w:left w:type="dxa" w:w="100"/>
              <w:bottom w:type="dxa" w:w="70"/>
              <w:right w:type="dxa" w:w="100"/>
            </w:tcMar>
            <w:vAlign w:val="top"/>
          </w:tcPr>
          <w:p>
            <w:pPr>
              <w:spacing w:after="0" w:line="252"/>
              <w:jc w:val="left"/>
            </w:pPr>
            <w:r>
              <w:rPr>
                <w:sz w:val="20"/>
                <w:szCs w:val="20"/>
              </w:rPr>
              <w:t xml:space="preserve">December</w:t>
            </w:r>
          </w:p>
        </w:tc>
        <w:tc>
          <w:tcPr>
            <w:tcW w:type="dxa" w:w="940"/>
            <w:tcMar>
              <w:top w:type="dxa" w:w="70"/>
              <w:left w:type="dxa" w:w="100"/>
              <w:bottom w:type="dxa" w:w="70"/>
              <w:right w:type="dxa" w:w="100"/>
            </w:tcMar>
            <w:vAlign w:val="top"/>
          </w:tcPr>
          <w:p>
            <w:pPr>
              <w:spacing w:after="0" w:line="252"/>
              <w:jc w:val="left"/>
            </w:pPr>
            <w:r>
              <w:rPr>
                <w:sz w:val="20"/>
                <w:szCs w:val="20"/>
              </w:rPr>
              <w:t xml:space="preserve">31</w:t>
            </w:r>
          </w:p>
        </w:tc>
        <w:tc>
          <w:tcPr>
            <w:tcW w:type="dxa" w:w="1881"/>
            <w:tcMar>
              <w:top w:type="dxa" w:w="70"/>
              <w:left w:type="dxa" w:w="100"/>
              <w:bottom w:type="dxa" w:w="70"/>
              <w:right w:type="dxa" w:w="100"/>
            </w:tcMar>
            <w:vAlign w:val="top"/>
          </w:tcPr>
          <w:p>
            <w:pPr>
              <w:spacing w:after="0" w:line="252"/>
              <w:jc w:val="left"/>
            </w:pPr>
            <w:r>
              <w:rPr>
                <w:sz w:val="20"/>
                <w:szCs w:val="20"/>
              </w:rPr>
              <w:t xml:space="preserve">186</w:t>
            </w:r>
          </w:p>
        </w:tc>
        <w:tc>
          <w:tcPr>
            <w:tcW w:type="dxa" w:w="2822"/>
            <w:tcMar>
              <w:top w:type="dxa" w:w="70"/>
              <w:left w:type="dxa" w:w="100"/>
              <w:bottom w:type="dxa" w:w="70"/>
              <w:right w:type="dxa" w:w="100"/>
            </w:tcMar>
            <w:vAlign w:val="top"/>
          </w:tcPr>
          <w:p>
            <w:pPr>
              <w:spacing w:after="0" w:line="252"/>
              <w:jc w:val="left"/>
            </w:pPr>
            <w:r>
              <w:rPr>
                <w:sz w:val="20"/>
                <w:szCs w:val="20"/>
              </w:rPr>
              <w:t xml:space="preserve">186</w:t>
            </w:r>
          </w:p>
        </w:tc>
        <w:tc>
          <w:tcPr>
            <w:tcW w:type="dxa" w:w="2821"/>
            <w:tcMar>
              <w:top w:type="dxa" w:w="70"/>
              <w:left w:type="dxa" w:w="100"/>
              <w:bottom w:type="dxa" w:w="70"/>
              <w:right w:type="dxa" w:w="100"/>
            </w:tcMar>
            <w:vAlign w:val="top"/>
          </w:tcPr>
          <w:p>
            <w:pPr>
              <w:spacing w:after="0" w:line="252"/>
              <w:jc w:val="left"/>
            </w:pPr>
            <w:r>
              <w:rPr>
                <w:sz w:val="20"/>
                <w:szCs w:val="20"/>
              </w:rPr>
              <w:t xml:space="preserve">0.16</w:t>
            </w:r>
          </w:p>
        </w:tc>
      </w:tr>
    </w:tbl>
    <w:p>
      <w:pPr>
        <w:spacing w:after="160" w:before="0"/>
      </w:pPr>
    </w:p>
    <w:p>
      <w:pPr>
        <w:pStyle w:val="Heading3"/>
        <w:keepNext/>
        <w:keepLines/>
      </w:pPr>
      <w:r>
        <w:rPr>
          <w:sz w:val="24"/>
          <w:szCs w:val="24"/>
        </w:rPr>
        <w:t xml:space="preserve">Items</w:t>
      </w:r>
    </w:p>
    <w:p>
      <w:pPr>
        <w:pStyle w:val="ListParagraph"/>
        <w:keepNext/>
        <w:keepLines/>
        <w:numPr>
          <w:ilvl w:val="0"/>
          <w:numId w:val="3"/>
        </w:numPr>
        <w:spacing w:after="100" w:line="276"/>
        <w:ind w:left="720" w:hanging="360"/>
      </w:pPr>
      <w:r>
        <w:rPr>
          <w:sz w:val="22"/>
          <w:szCs w:val="22"/>
        </w:rPr>
        <w:t xml:space="preserve">Using Document 2, list the 20 lead results from lowest to highest and use the method described below the table to find the 90th-percentile value. Write it in cell (a). Show the rank you used.</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How many sites had a result above 15 ppb? Write it in cell (b). How many sites had a result above 10 ppb?</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Compare your 90th-percentile value with the current action level of 15 ppb and with the 2027 action level of 10 ppb. By how many ppb is it below or above each one? Fill in cell (c) for 2025, and state what would happen if results like these were judged against the 2027 level.</w:t>
      </w:r>
    </w:p>
    <w:p>
      <w:pPr>
        <w:keepNext/>
        <w:keepLines/>
        <w:spacing w:after="0" w:before="0" w:line="2304"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Find the mean and the median of the 20 lead results. The lead rule uses the 90th percentile instead of either of these. Using Cedar Hollow's numbers, explain why the 90th percentile is a better quantity for this purpose.</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Two sites are already above 15 ppb. With 20 sites sampled, what is the smallest number of sites that would have to be above 15 ppb for the 90th-percentile value to be above 15 ppb? Explain using the ranks.</w:t>
      </w:r>
    </w:p>
    <w:p>
      <w:pPr>
        <w:keepNext/>
        <w:keepLines/>
        <w:spacing w:after="0" w:before="0" w:line="2304"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family at site A5 sees that the town met the action level and concludes that their own water is fine. Using the MCLG of 0 ppb and their own result, explain what you would tell them and what a system-wide summary can and cannot tell one household.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Document 3, calculate the running annual average for December 2025 and write it in cell (d). Write the lowest and highest monthly averages in cell (e). What percent of the 4.0 mg/L MRDL is the running annual average? Fill in cell (f).</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resident reads operator note 1 and says the utility broke the chlorine limit because 4.4 mg/L is above 4.0 mg/L. July and August were also above the typical 2.0 mg/L operating level. Is either of these a violation? Explain how the MRDL is judged.</w:t>
      </w:r>
    </w:p>
    <w:p>
      <w:pPr>
        <w:keepNext/>
        <w:keepLines/>
        <w:spacing w:after="0" w:before="0" w:line="2304"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operator note 2, decide whether the March 14 event broke the rule for water entering the pipes. By how many mg/L was the level below 0.2 mg/L, and how long would the event have had to last to break the rule?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Document 4, calculate the percentage of readings at or below 0.3 NTU for each month that had any readings above 0.3 NTU. Round to the nearest tenth of a percent. Write the lowest monthly percentage in cell (g) and the highest single reading of the year in cell (h). Then fill in cell (i) and explain your decision.</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In a 31-day month with 186 readings, what is the largest number of readings that could be above 0.3 NTU while the month still meets the 95% requirement? Show why one more reading would cause the month to fail.</w:t>
      </w:r>
    </w:p>
    <w:p>
      <w:pPr>
        <w:keepNext/>
        <w:keepLines/>
        <w:spacing w:after="0" w:before="0" w:line="2304"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report gives chlorine in mg/L and lead in ppb. In fresh water 1 mg/L is about 1 ppm, and 1 ppm equals 1,000 ppb. Convert the chlorine running annual average from item 7 to ppb. A classmate says chlorine must be the bigger health concern because its number in ppb is far larger than the lead number. Explain why that comparison is not valid.</w:t>
      </w:r>
    </w:p>
    <w:p>
      <w:pPr>
        <w:keepNext/>
        <w:keepLines/>
        <w:spacing w:after="0" w:before="0" w:line="2304"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Classify each of the four rows in Document 1 as a health-based standard or an aesthetic secondary standard, and explain the difference in one or two sentences.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a short paragraph of 3 to 4 sentences for the front page of Cedar Hollow's report that tells residents accurately how the town did in 2025. It must mention lead and the 2027 change, and it must describe at least one standard by how it is judged rather than only by its number.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Cedar Hollow's Water Report: Calculating the Summary Numbers</w:t>
      </w:r>
    </w:p>
    <w:p>
      <w:pPr>
        <w:keepNext/>
        <w:spacing w:after="160"/>
      </w:pPr>
      <w:r>
        <w:rPr>
          <w:color w:val="5B6B70"/>
          <w:sz w:val="20"/>
          <w:szCs w:val="20"/>
        </w:rPr>
        <w:t xml:space="preserve">Worksheet · Grade 10 · Health &amp; Consumer Science</w:t>
      </w:r>
    </w:p>
    <w:p>
      <w:pPr>
        <w:keepNext/>
        <w:keepLines/>
        <w:spacing w:after="100" w:line="264"/>
      </w:pPr>
      <w:r>
        <w:rPr>
          <w:sz w:val="22"/>
          <w:szCs w:val="22"/>
        </w:rPr>
        <w:t xml:space="preserve">All values below refer to the fictional Cedar Hollow data in the Source packet.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11 ppb.</w:t>
      </w:r>
      <w:r>
        <w:rPr>
          <w:sz w:val="22"/>
          <w:szCs w:val="22"/>
        </w:rPr>
        <w:br/>
      </w:r>
      <w:r>
        <w:rPr>
          <w:sz w:val="22"/>
          <w:szCs w:val="22"/>
        </w:rPr>
        <w:t xml:space="preserve">Sorted: 1, 1, 2, 2, 2, 3, 3, 4, 4, 5, 5, 6, 7, 7, 8, 9, 10, 11, 19, 27. The rank is 20 × 0.9 = 18, and the 18th value is 11 ppb (site A10). Cell (a) is 11 ppb.</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 sites above 15 ppb.</w:t>
      </w:r>
      <w:r>
        <w:rPr>
          <w:sz w:val="22"/>
          <w:szCs w:val="22"/>
        </w:rPr>
        <w:br/>
      </w:r>
      <w:r>
        <w:rPr>
          <w:sz w:val="22"/>
          <w:szCs w:val="22"/>
        </w:rPr>
        <w:t xml:space="preserve">Sites A14 (19 ppb) and A5 (27 ppb) are above 15 ppb, so cell (b) is 2 of 20. Three sites are above 10 ppb: A10 (11 ppb), A14 (19 ppb) and A5 (27 ppb).</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 ppb below the current level and 1 ppb above the 2027 level.</w:t>
      </w:r>
      <w:r>
        <w:rPr>
          <w:sz w:val="22"/>
          <w:szCs w:val="22"/>
        </w:rPr>
        <w:br/>
      </w:r>
      <w:r>
        <w:rPr>
          <w:sz w:val="22"/>
          <w:szCs w:val="22"/>
        </w:rPr>
        <w:t xml:space="preserve">15 - 11 = 4 ppb below today's action level, so cell (c) is "Yes" for 2025. Against the 2027 level, 11 - 10 = 1 ppb above. Because 11 is greater than 10, results like these would be an action level exceedance under the 2027 level. An exceedance is a trigger rather than a safe-or-unsafe verdict: it requires the utility to take treatment steps and notify the public.</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Mean 6.8 ppb; median 5 ppb.</w:t>
      </w:r>
      <w:r>
        <w:rPr>
          <w:sz w:val="22"/>
          <w:szCs w:val="22"/>
        </w:rPr>
        <w:br/>
      </w:r>
      <w:r>
        <w:rPr>
          <w:sz w:val="22"/>
          <w:szCs w:val="22"/>
        </w:rPr>
        <w:t xml:space="preserve">The sum is 136, and 136 ÷ 20 = 6.8 ppb. The median is the average of the 10th and 11th values, (5 + 5) ÷ 2 = 5 ppb. Lead usually comes from pipes and fixtures in particular buildings, so a few homes can be much higher than the rest. The mean and median describe a typical home and would sit below even the 10 ppb level here, while the 90th percentile (11 ppb) reflects the homes near the top of the distribution, which are the ones the rule is meant to catch. Accept any explanation that connects the choice of quantity to finding high-lead homes.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 sites.</w:t>
      </w:r>
      <w:r>
        <w:rPr>
          <w:sz w:val="22"/>
          <w:szCs w:val="22"/>
        </w:rPr>
        <w:br/>
      </w:r>
      <w:r>
        <w:rPr>
          <w:sz w:val="22"/>
          <w:szCs w:val="22"/>
        </w:rPr>
        <w:t xml:space="preserve">The 90th-percentile value is the 18th of 20 ranked results, so it is above 15 ppb only if the results ranked 18, 19 and 20 are all above 15 ppb. That requires at least 3 sites above 15 ppb. With the current 2 sites, the 18th value is 11 ppb; if one more site rose above 15 ppb, it would move into the top three and the 18th value would be above 15 ppb.</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Their own result of 27 ppb is 12 ppb above the 15 ppb figure, and the goal for lead is 0 ppb.</w:t>
      </w:r>
      <w:r>
        <w:rPr>
          <w:sz w:val="22"/>
          <w:szCs w:val="22"/>
        </w:rPr>
        <w:br/>
      </w:r>
      <w:r>
        <w:rPr>
          <w:sz w:val="22"/>
          <w:szCs w:val="22"/>
        </w:rPr>
        <w:t xml:space="preserve">The town's summary (11 ppb) describes the system, not one house; the action level is applied to the 90th-percentile result for the whole system, so it can be met while individual homes are well above 15 ppb. Site A5's result is 27 - 15 = 12 ppb higher than 15 ppb, and because the health goal for lead is zero, no level is considered safe. The family should follow up with the utility, use only cold water for drinking and cooking, and ask about testing again and about the material of their service line. Accept any answer that uses the household's own result and the MCLG of zero.</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 mg/L, which is 37.5% of the MRDL.</w:t>
      </w:r>
      <w:r>
        <w:rPr>
          <w:sz w:val="22"/>
          <w:szCs w:val="22"/>
        </w:rPr>
        <w:br/>
      </w:r>
      <w:r>
        <w:rPr>
          <w:sz w:val="22"/>
          <w:szCs w:val="22"/>
        </w:rPr>
        <w:t xml:space="preserve">The 12 monthly averages add to 18.0, and 18.0 ÷ 12 = 1.5 mg/L, so cell (d) is 1.5 mg/L. Cell (e) is 1.0 to 2.2 mg/L. The percentage is 1.5 ÷ 4.0 = 0.375, or 37.5%. Cell (f) is "Yes" because 1.5 mg/L is below 4.0 mg/L.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 neither is a violation.</w:t>
      </w:r>
      <w:r>
        <w:rPr>
          <w:sz w:val="22"/>
          <w:szCs w:val="22"/>
        </w:rPr>
        <w:br/>
      </w:r>
      <w:r>
        <w:rPr>
          <w:sz w:val="22"/>
          <w:szCs w:val="22"/>
        </w:rPr>
        <w:t xml:space="preserve">The MRDL is judged on the running annual average of monthly averages, which is 1.5 mg/L, so a single sample of 4.4 mg/L is not by itself a violation. The 0.2 to 2.0 mg/L range is a typical operating range, not a legal limit, so monthly averages of 2.1 and 2.2 mg/L in July and August do not break a rule. The 4.4 mg/L sample came from a tap close to the plant, where water arrives before much of its chlorine has been used up, which explains why that one sample was so much higher than the monthly averages.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 the level was 0.05 mg/L below 0.2 mg/L.</w:t>
      </w:r>
      <w:r>
        <w:rPr>
          <w:sz w:val="22"/>
          <w:szCs w:val="22"/>
        </w:rPr>
        <w:br/>
      </w:r>
      <w:r>
        <w:rPr>
          <w:sz w:val="22"/>
          <w:szCs w:val="22"/>
        </w:rPr>
        <w:t xml:space="preserve">The shortfall is 0.2 - 0.15 = 0.05 mg/L. The rule is broken only if the level stays below 0.2 mg/L for more than 4 hours. The event lasted 3 hours, so it would have had to last more than 4 hours, which is more than 1 hour longer than it did, to break the rule.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96.7% (June); highest reading 0.46 NTU.</w:t>
      </w:r>
      <w:r>
        <w:rPr>
          <w:sz w:val="22"/>
          <w:szCs w:val="22"/>
        </w:rPr>
        <w:br/>
      </w:r>
      <w:r>
        <w:rPr>
          <w:sz w:val="22"/>
          <w:szCs w:val="22"/>
        </w:rPr>
        <w:t xml:space="preserve">March: 183 ÷ 186 × 100 = 98.4%. June: 174 ÷ 180 × 100 = 96.7%. July: 181 ÷ 186 × 100 = 97.3%. Every other month is 100%. Cell (g) is 96.7% and cell (h) is 0.46 NTU (June). Cell (i) is "Yes," because every month had at least 95% of readings at or below 0.3 NTU and no reading went above 1 NTU. The 0.46 NTU reading was above 0.3 NTU, which the rule allows as long as the month stays at or above 95%.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 readings.</w:t>
      </w:r>
      <w:r>
        <w:rPr>
          <w:sz w:val="22"/>
          <w:szCs w:val="22"/>
        </w:rPr>
        <w:br/>
      </w:r>
      <w:r>
        <w:rPr>
          <w:sz w:val="22"/>
          <w:szCs w:val="22"/>
        </w:rPr>
        <w:t xml:space="preserve">95% of 186 is 0.95 × 186 = 176.7, so at least 177 readings must be at or below 0.3 NTU (a month cannot have part of a reading). That leaves 186 - 177 = 9 readings that may be above 0.3 NTU. Check: 177 ÷ 186 × 100 = 95.2%, which meets the requirement. With 10 readings above 0.3 NTU, only 176 are at or below it, and 176 ÷ 186 × 100 = 94.6%, which fails.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1,500 ppb.</w:t>
      </w:r>
      <w:r>
        <w:rPr>
          <w:sz w:val="22"/>
          <w:szCs w:val="22"/>
        </w:rPr>
        <w:br/>
      </w:r>
      <w:r>
        <w:rPr>
          <w:sz w:val="22"/>
          <w:szCs w:val="22"/>
        </w:rPr>
        <w:t xml:space="preserve">A chlorine average of 1.5 mg/L is about 1.5 ppm, and 1.5 × 1,000 = 1,500 ppb. Each substance has to be compared with its own standard, not with a different substance. Chlorine is 1,500 ppb against a limit of 4,000 ppb (4.0 mg/L), while lead is 11 ppb against an action level of 15 ppb and a health goal of 0 ppb. Lead is harmful at far lower concentrations, so a smaller number can mean a larger concern.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Lead, chlorine and turbidity are health-based; pH is a secondary standard.</w:t>
      </w:r>
      <w:r>
        <w:rPr>
          <w:sz w:val="22"/>
          <w:szCs w:val="22"/>
        </w:rPr>
        <w:br/>
      </w:r>
      <w:r>
        <w:rPr>
          <w:sz w:val="22"/>
          <w:szCs w:val="22"/>
        </w:rPr>
        <w:t xml:space="preserve">The lead action level, the chlorine MRDL and the turbidity requirement protect health and require the utility to act when they are not met. The pH range is an aesthetic guideline tied to taste, appearance and pipe corrosion rather than a direct health limit, and it is not federally enforceable.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 accurate 3 to 4 sentence paragraph.</w:t>
      </w:r>
      <w:r>
        <w:rPr>
          <w:sz w:val="22"/>
          <w:szCs w:val="22"/>
        </w:rPr>
        <w:br/>
      </w:r>
      <w:r>
        <w:rPr>
          <w:sz w:val="22"/>
          <w:szCs w:val="22"/>
        </w:rPr>
        <w:t xml:space="preserve">A full-credit paragraph says that the 90th-percentile lead result was 11 ppb, which met the current 15 ppb action level but is above the 10 ppb level that takes effect in 2027; that chlorine and turbidity met their standards; and it explains at least one standard by how it is judged (for example, that the chlorine limit applies to a yearly running average, or that 96.7% of June's turbidity readings met the 0.3 NTU target). Deduct for describing lead as "safe," since the health goal is 0 ppb, or for calling the single 4.4 mg/L chlorine sample a violation.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Cedar Hollow's Water Report: Calculating the Summary Numbers</dc:title>
  <dc:subject>Worksheet · Grade 10 · Health &amp; Consumer Science</dc:subject>
  <dc:creator>Water for Schools</dc:creator>
  <cp:keywords>Worksheet, Grade 10, Health &amp; Consumer Science</cp:keywords>
  <dc:description>A grade 10 worksheet in which students rebuild a fictional town's water report from raw lead, chlorine and turbidity data, then judge each result by its rule.</dc:description>
  <cp:lastModifiedBy>Water for Schools</cp:lastModifiedBy>
  <cp:revision>1</cp:revision>
  <dcterms:created xsi:type="dcterms:W3CDTF">2026-10-19T16:29:06.168Z</dcterms:created>
  <dcterms:modified xsi:type="dcterms:W3CDTF">2026-10-19T16:29:06.168Z</dcterms:modified>
</cp:coreProperties>
</file>

<file path=docProps/custom.xml><?xml version="1.0" encoding="utf-8"?>
<Properties xmlns="http://schemas.openxmlformats.org/officeDocument/2006/custom-properties" xmlns:vt="http://schemas.openxmlformats.org/officeDocument/2006/docPropsVTypes"/>
</file>