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Student Hydration and School Fountains: A Random-Sample Survey</w:t>
      </w:r>
    </w:p>
    <w:p>
      <w:pPr>
        <w:keepNext/>
        <w:spacing w:after="160"/>
      </w:pPr>
      <w:r>
        <w:rPr>
          <w:color w:val="5B6B70"/>
          <w:sz w:val="20"/>
          <w:szCs w:val="20"/>
        </w:rPr>
        <w:t xml:space="preserve">Project · Grade 11 · Health &amp; Consumer Science</w:t>
      </w:r>
    </w:p>
    <w:p>
      <w:pPr>
        <w:spacing w:after="100" w:line="264"/>
      </w:pPr>
      <w:r>
        <w:rPr>
          <w:i/>
          <w:iCs/>
          <w:color w:val="12333F"/>
          <w:sz w:val="22"/>
          <w:szCs w:val="22"/>
        </w:rPr>
        <w:t xml:space="preserve">Teams audit every school fountain, survey a random sample of students, estimate tap-water use with a simulated margin of error, and pitch a budgeted plan.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Project Brief, 1 per student</w:t>
            </w:r>
          </w:p>
          <w:p>
            <w:pPr>
              <w:spacing w:after="0"/>
            </w:pPr>
            <w:r>
              <w:rPr>
                <w:sz w:val="20"/>
                <w:szCs w:val="20"/>
              </w:rPr>
              <w:t xml:space="preserve">• Digital food thermometer, 1 per team</w:t>
            </w:r>
          </w:p>
          <w:p>
            <w:pPr>
              <w:spacing w:after="0"/>
            </w:pPr>
            <w:r>
              <w:rPr>
                <w:sz w:val="20"/>
                <w:szCs w:val="20"/>
              </w:rPr>
              <w:t xml:space="preserve">• Empty 500 mL water bottle and a stopwatch or phone timer, 1 per team</w:t>
            </w:r>
          </w:p>
          <w:p>
            <w:pPr>
              <w:spacing w:after="0"/>
            </w:pPr>
            <w:r>
              <w:rPr>
                <w:sz w:val="20"/>
                <w:szCs w:val="20"/>
              </w:rPr>
              <w:t xml:space="preserve">• Clipboards and printed audit tables, or a shared spreadsheet</w:t>
            </w:r>
          </w:p>
          <w:p>
            <w:pPr>
              <w:spacing w:after="0"/>
            </w:pPr>
            <w:r>
              <w:rPr>
                <w:sz w:val="20"/>
                <w:szCs w:val="20"/>
              </w:rPr>
              <w:t xml:space="preserve">• A school floor plan showing every drinking fountain and bottle filler</w:t>
            </w:r>
          </w:p>
          <w:p>
            <w:pPr>
              <w:spacing w:after="0"/>
            </w:pPr>
            <w:r>
              <w:rPr>
                <w:sz w:val="20"/>
                <w:szCs w:val="20"/>
              </w:rPr>
              <w:t xml:space="preserve">• An online form or printed survey sheets for the survey</w:t>
            </w:r>
          </w:p>
          <w:p>
            <w:pPr>
              <w:spacing w:after="0"/>
            </w:pPr>
            <w:r>
              <w:rPr>
                <w:sz w:val="20"/>
                <w:szCs w:val="20"/>
              </w:rPr>
              <w:t xml:space="preserve">• A random number generator (calculator, spreadsheet, or website) for sampling and simulation</w:t>
            </w:r>
          </w:p>
          <w:p>
            <w:pPr>
              <w:spacing w:after="0"/>
            </w:pPr>
            <w:r>
              <w:rPr>
                <w:sz w:val="20"/>
                <w:szCs w:val="20"/>
              </w:rPr>
              <w:t xml:space="preserve">• Computers or tablets for the proposal and slides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an anonymous survey and a random sampling plan and explain why random selection lets them draw conclusions about the whole school.</w:t>
      </w:r>
    </w:p>
    <w:p>
      <w:pPr>
        <w:pStyle w:val="ListParagraph"/>
        <w:keepNext/>
        <w:keepLines/>
        <w:numPr>
          <w:ilvl w:val="0"/>
          <w:numId w:val="2"/>
        </w:numPr>
        <w:spacing w:after="60" w:line="264"/>
        <w:ind w:left="720" w:hanging="360"/>
      </w:pPr>
      <w:r>
        <w:rPr>
          <w:sz w:val="22"/>
          <w:szCs w:val="22"/>
        </w:rPr>
        <w:t xml:space="preserve">Students will estimate the proportion of students who drank school tap water on a given day and develop a margin of error by simulation.</w:t>
      </w:r>
    </w:p>
    <w:p>
      <w:pPr>
        <w:pStyle w:val="ListParagraph"/>
        <w:keepNext/>
        <w:keepLines/>
        <w:numPr>
          <w:ilvl w:val="0"/>
          <w:numId w:val="2"/>
        </w:numPr>
        <w:spacing w:after="60" w:line="264"/>
        <w:ind w:left="720" w:hanging="360"/>
      </w:pPr>
      <w:r>
        <w:rPr>
          <w:sz w:val="22"/>
          <w:szCs w:val="22"/>
        </w:rPr>
        <w:t xml:space="preserve">Students will audit every drinking-water outlet in the building and connect the barriers they find to student hydration and health.</w:t>
      </w:r>
    </w:p>
    <w:p>
      <w:pPr>
        <w:pStyle w:val="ListParagraph"/>
        <w:keepLines/>
        <w:numPr>
          <w:ilvl w:val="0"/>
          <w:numId w:val="2"/>
        </w:numPr>
        <w:spacing w:after="60" w:line="264"/>
        <w:ind w:left="720" w:hanging="360"/>
      </w:pPr>
      <w:r>
        <w:rPr>
          <w:sz w:val="22"/>
          <w:szCs w:val="22"/>
        </w:rPr>
        <w:t xml:space="preserve">Students will propose three budgeted changes that address access, trust, and habits, each supported by their data.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HSS-IC.B.3 (Common Core Math)</w:t>
      </w:r>
      <w:r>
        <w:rPr>
          <w:sz w:val="22"/>
          <w:szCs w:val="22"/>
        </w:rPr>
        <w:t xml:space="preserve">: Recognize the purposes of and differences among sample surveys, experiments, and observational studies; explain how randomization relates to each.</w:t>
      </w:r>
    </w:p>
    <w:p>
      <w:pPr>
        <w:spacing w:after="100" w:line="264"/>
        <w:ind w:left="360"/>
      </w:pPr>
      <w:r>
        <w:rPr>
          <w:i/>
          <w:iCs/>
          <w:color w:val="5B6B70"/>
          <w:sz w:val="20"/>
          <w:szCs w:val="20"/>
        </w:rPr>
        <w:t xml:space="preserve">How this material addresses it: This addresses the sample-survey part of the standard: in Milestone 1 teams plan a random draw of advisory classes, and the proposal must explain why that random sample, unlike a hallway or lunch-table survey, supports conclusions about the whole school.</w:t>
      </w:r>
    </w:p>
    <w:p>
      <w:pPr>
        <w:keepNext/>
        <w:spacing w:after="40" w:line="264"/>
      </w:pPr>
      <w:r>
        <w:rPr>
          <w:b/>
          <w:bCs/>
          <w:sz w:val="22"/>
          <w:szCs w:val="22"/>
        </w:rPr>
        <w:t xml:space="preserve">HSS-IC.B.4 (Common Core Math)</w:t>
      </w:r>
      <w:r>
        <w:rPr>
          <w:sz w:val="22"/>
          <w:szCs w:val="22"/>
        </w:rPr>
        <w:t xml:space="preserve">: Use data from a sample survey to estimate a population mean or proportion; develop a margin of error through the use of simulation models for random sampling.</w:t>
      </w:r>
    </w:p>
    <w:p>
      <w:pPr>
        <w:spacing w:after="100" w:line="264"/>
        <w:ind w:left="360"/>
      </w:pPr>
      <w:r>
        <w:rPr>
          <w:i/>
          <w:iCs/>
          <w:color w:val="5B6B70"/>
          <w:sz w:val="20"/>
          <w:szCs w:val="20"/>
        </w:rPr>
        <w:t xml:space="preserve">How this material addresses it: In Milestone 4 teams estimate the school-wide proportion of students who drank school tap water the day before and develop its margin of error by simulating at least 200 random samples.</w:t>
      </w:r>
    </w:p>
    <w:p>
      <w:pPr>
        <w:keepNext/>
        <w:spacing w:after="40" w:line="264"/>
      </w:pPr>
      <w:r>
        <w:rPr>
          <w:b/>
          <w:bCs/>
          <w:sz w:val="22"/>
          <w:szCs w:val="22"/>
        </w:rPr>
        <w:t xml:space="preserve">W.11-12.7 (Common Core ELA)</w:t>
      </w:r>
      <w:r>
        <w:rPr>
          <w:sz w:val="22"/>
          <w:szCs w:val="22"/>
        </w:rPr>
        <w:t xml:space="preserve">: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pPr>
        <w:spacing w:after="100" w:line="264"/>
        <w:ind w:left="360"/>
      </w:pPr>
      <w:r>
        <w:rPr>
          <w:i/>
          <w:iCs/>
          <w:color w:val="5B6B70"/>
          <w:sz w:val="20"/>
          <w:szCs w:val="20"/>
        </w:rPr>
        <w:t xml:space="preserve">How this material addresses it: The final proposal is a sustained research product in which teams synthesize their own survey results, the fountain audit, and the health background to answer the committee's driving question.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random sample, convenience sample, sample proportion, margin of error, simulation, hydration, added sugar</w:t>
      </w:r>
    </w:p>
    <w:p>
      <w:pPr>
        <w:pStyle w:val="Heading2"/>
        <w:keepNext/>
        <w:keepLines/>
      </w:pPr>
      <w:r>
        <w:rPr>
          <w:sz w:val="28"/>
          <w:szCs w:val="28"/>
        </w:rPr>
        <w:t xml:space="preserve">Teacher overview</w:t>
      </w:r>
    </w:p>
    <w:p>
      <w:pPr>
        <w:spacing w:after="100" w:line="264"/>
      </w:pPr>
      <w:r>
        <w:rPr>
          <w:sz w:val="22"/>
          <w:szCs w:val="22"/>
        </w:rPr>
        <w:t xml:space="preserve">This project asks a question that school wellness committees face often: what keeps students from drinking the school's tap water, and which changes would most increase how often they do? Teams audit every drinking fountain and bottle filler in their own building, survey a random sample of students, estimate the school-wide rate with a margin of error built by simulation, and present a budgeted proposal to the school wellness committee (or to a class panel playing that role). Teaching note: the misconception to address early is that a big survey of friends, a lunch table, or one class tells you about the whole school. Students often trust a convenience sample of 200 over a random sample of 80, and Milestone 1 is where to show them why the random sample is the one that supports a school-wide estimate. A second, health-related belief also comes up: many students assume fountain water is less safe than bottled water. The water a public system delivers is treated and tested, and the problems an audit is more likely to find are warm water, slow or broken outlets, and test results that are not posted. Older pipes and fixtures can still add lead, which is why testing fountains and posting the results matter. Before Session 2, get the principal's approval for the survey and the audit, confirm with the facilities staff which outlets exist, and ask whether the school's most recent drinking-water test results are available.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survey template with the required question and three other questions already written, so students revise rather than draft from nothing. For Milestone 4, give a spreadsheet already set up to run the simulation, so students enter their sample size and proportion and then read and interpret the results. Pair students for the audit so one measures while the other records.</w:t>
      </w:r>
    </w:p>
    <w:p>
      <w:pPr>
        <w:pStyle w:val="Heading3"/>
        <w:keepNext/>
        <w:keepLines/>
      </w:pPr>
      <w:r>
        <w:rPr>
          <w:sz w:val="24"/>
          <w:szCs w:val="24"/>
        </w:rPr>
        <w:t xml:space="preserve">Extension</w:t>
      </w:r>
    </w:p>
    <w:p>
      <w:pPr>
        <w:spacing w:after="100" w:line="264"/>
      </w:pPr>
      <w:r>
        <w:rPr>
          <w:sz w:val="22"/>
          <w:szCs w:val="22"/>
        </w:rPr>
        <w:t xml:space="preserve">Ask students to compare two groups inside their sample, such as students with PE this semester and students without, and use a simulation to decide whether the difference between the two proportions is larger than chance would explain. Students can also explain how drawing whole advisory classes differs from drawing individual students at random and how that choice could affect the margin of error.</w:t>
      </w:r>
    </w:p>
    <w:p>
      <w:pPr>
        <w:pStyle w:val="Heading3"/>
        <w:keepNext/>
        <w:keepLines/>
      </w:pPr>
      <w:r>
        <w:rPr>
          <w:sz w:val="24"/>
          <w:szCs w:val="24"/>
        </w:rPr>
        <w:t xml:space="preserve">ELL supports</w:t>
      </w:r>
    </w:p>
    <w:p>
      <w:pPr>
        <w:spacing w:after="100" w:line="264"/>
      </w:pPr>
      <w:r>
        <w:rPr>
          <w:sz w:val="22"/>
          <w:szCs w:val="22"/>
        </w:rPr>
        <w:t xml:space="preserve">Pre-teach "random sample," "proportion," "margin of error," "bottle filler," and "chiller" with a photo or diagram of each. Allow teams to translate the survey for students who read another language more easily, with the required question checked by a bilingual staff member. Provide sentence frames for the proposal: "We estimate that ___ of students drank school water yesterday, give or take ___. The most common reason for not drinking was ___, so we recommend ___."</w:t>
      </w:r>
    </w:p>
    <w:p>
      <w:pPr>
        <w:pStyle w:val="Heading2"/>
        <w:keepNext/>
        <w:keepLines/>
      </w:pPr>
      <w:r>
        <w:rPr>
          <w:sz w:val="28"/>
          <w:szCs w:val="28"/>
        </w:rPr>
        <w:t xml:space="preserve">Extensions</w:t>
      </w:r>
    </w:p>
    <w:p>
      <w:pPr>
        <w:spacing w:after="100" w:line="264"/>
      </w:pPr>
      <w:r>
        <w:rPr>
          <w:sz w:val="22"/>
          <w:szCs w:val="22"/>
        </w:rPr>
        <w:t xml:space="preserve">Teams can repeat the required survey question a few weeks after one of their recommendations is carried out and compare the two results, using simulation to decide whether any change is larger than sampling variation alone. A facilities staff member or the district's school health coordinator can be invited to explain how the building's water is flushed and tested and how results are shared with families.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Student Hydration and School Fountains: A Random-Sample Survey</w:t>
      </w:r>
    </w:p>
    <w:p>
      <w:pPr>
        <w:keepNext/>
        <w:spacing w:after="160"/>
      </w:pPr>
      <w:r>
        <w:rPr>
          <w:color w:val="5B6B70"/>
          <w:sz w:val="20"/>
          <w:szCs w:val="20"/>
        </w:rPr>
        <w:t xml:space="preserve">Grade 11 · Health &amp; Consumer Science</w:t>
      </w:r>
    </w:p>
    <w:p>
      <w:pPr>
        <w:pStyle w:val="Heading2"/>
        <w:keepNext/>
        <w:keepLines/>
      </w:pPr>
      <w:r>
        <w:rPr>
          <w:sz w:val="28"/>
          <w:szCs w:val="28"/>
        </w:rPr>
        <w:t xml:space="preserve">Project Brief</w:t>
      </w:r>
    </w:p>
    <w:p>
      <w:pPr>
        <w:spacing w:after="120" w:line="276"/>
      </w:pPr>
      <w:r>
        <w:rPr>
          <w:sz w:val="22"/>
          <w:szCs w:val="22"/>
        </w:rPr>
        <w:t xml:space="preserve">Driving question: What keeps students at our school from drinking the school's tap water, and which three changes would most increase how often they do?</w:t>
      </w:r>
    </w:p>
    <w:p>
      <w:pPr>
        <w:spacing w:after="120" w:line="276"/>
      </w:pPr>
      <w:r>
        <w:rPr>
          <w:sz w:val="22"/>
          <w:szCs w:val="22"/>
        </w:rPr>
        <w:t xml:space="preserve">Your client is the school wellness committee. The committee wants a short written proposal and a five-minute presentation that it can use to decide how to spend a small grant.</w:t>
      </w:r>
    </w:p>
    <w:p>
      <w:pPr>
        <w:spacing w:after="120" w:line="276"/>
      </w:pPr>
      <w:r>
        <w:rPr>
          <w:sz w:val="22"/>
          <w:szCs w:val="22"/>
        </w:rPr>
        <w:t xml:space="preserve">Health background. Water is the recommended everyday drink for teenagers because it hydrates without adding sugar or calories. Sugary drinks such as soda, sweet tea, and many sports and energy drinks are a leading source of added sugar in teen diets. Sipping them often through the day also feeds the mouth bacteria that cause tooth decay. Even mild dehydration can leave people tired, headachy, and less able to focus, and students who play sports or take PE lose extra water through sweat. Research on schools finds that students drink more water when it is easy to reach, cold, and good-tasting, and when they trust that it is safe.</w:t>
      </w:r>
    </w:p>
    <w:p>
      <w:pPr>
        <w:spacing w:after="120" w:line="276"/>
      </w:pPr>
      <w:r>
        <w:rPr>
          <w:sz w:val="22"/>
          <w:szCs w:val="22"/>
        </w:rPr>
        <w:t xml:space="preserve">Water inside the building. Public water systems treat and test the water they deliver to the school. Inside the building, though, water can pick up warmth, off-tastes, or metals such as lead from old pipes and fixtures. This is most likely after the water sits unused over a weekend or a break. For that reason, many schools flush their lines, test their fountains, and replace old fixtures, and posting the test results can affect whether students decide to drink.</w:t>
      </w:r>
    </w:p>
    <w:p>
      <w:pPr>
        <w:spacing w:after="120" w:line="276"/>
      </w:pPr>
      <w:r>
        <w:rPr>
          <w:sz w:val="22"/>
          <w:szCs w:val="22"/>
        </w:rPr>
        <w:t xml:space="preserve">A pilot survey to learn from. In our scenario, a statistics class at the fictional Rushbrook High School, which has 1,400 students, surveyed a random sample of 120 students. They chose the sample by drawing advisory classes at random. Of the 120 students, 54 answered yes to this question: "Yesterday, at school, did you drink water from a school fountain or bottle filler?" The 66 students who answered no could give more than one reason.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392"/>
        <w:gridCol w:w="2688"/>
      </w:tblGrid>
      <w:tr>
        <w:trPr>
          <w:cantSplit/>
          <w:tblHeader/>
        </w:trPr>
        <w:tc>
          <w:tcPr>
            <w:tcW w:type="dxa" w:w="739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Reason given by Rushbrook students who answered no</w:t>
            </w:r>
          </w:p>
        </w:tc>
        <w:tc>
          <w:tcPr>
            <w:tcW w:type="dxa" w:w="268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Number of students</w:t>
            </w:r>
          </w:p>
        </w:tc>
      </w:tr>
      <w:tr>
        <w:trPr>
          <w:cantSplit/>
        </w:trPr>
        <w:tc>
          <w:tcPr>
            <w:tcW w:type="dxa" w:w="7392"/>
            <w:tcMar>
              <w:top w:type="dxa" w:w="70"/>
              <w:left w:type="dxa" w:w="100"/>
              <w:bottom w:type="dxa" w:w="70"/>
              <w:right w:type="dxa" w:w="100"/>
            </w:tcMar>
            <w:vAlign w:val="top"/>
          </w:tcPr>
          <w:p>
            <w:pPr>
              <w:keepNext/>
              <w:spacing w:after="0" w:line="252"/>
              <w:jc w:val="left"/>
            </w:pPr>
            <w:r>
              <w:rPr>
                <w:sz w:val="22"/>
                <w:szCs w:val="22"/>
              </w:rPr>
              <w:t xml:space="preserve">The water is warm</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29</w:t>
            </w:r>
          </w:p>
        </w:tc>
      </w:tr>
      <w:tr>
        <w:trPr>
          <w:cantSplit/>
        </w:trPr>
        <w:tc>
          <w:tcPr>
            <w:tcW w:type="dxa" w:w="7392"/>
            <w:tcMar>
              <w:top w:type="dxa" w:w="70"/>
              <w:left w:type="dxa" w:w="100"/>
              <w:bottom w:type="dxa" w:w="70"/>
              <w:right w:type="dxa" w:w="100"/>
            </w:tcMar>
            <w:vAlign w:val="top"/>
          </w:tcPr>
          <w:p>
            <w:pPr>
              <w:keepNext/>
              <w:spacing w:after="0" w:line="252"/>
              <w:jc w:val="left"/>
            </w:pPr>
            <w:r>
              <w:rPr>
                <w:sz w:val="22"/>
                <w:szCs w:val="22"/>
              </w:rPr>
              <w:t xml:space="preserve">I bring other drinks from home</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25</w:t>
            </w:r>
          </w:p>
        </w:tc>
      </w:tr>
      <w:tr>
        <w:trPr>
          <w:cantSplit/>
        </w:trPr>
        <w:tc>
          <w:tcPr>
            <w:tcW w:type="dxa" w:w="7392"/>
            <w:tcMar>
              <w:top w:type="dxa" w:w="70"/>
              <w:left w:type="dxa" w:w="100"/>
              <w:bottom w:type="dxa" w:w="70"/>
              <w:right w:type="dxa" w:w="100"/>
            </w:tcMar>
            <w:vAlign w:val="top"/>
          </w:tcPr>
          <w:p>
            <w:pPr>
              <w:keepNext/>
              <w:spacing w:after="0" w:line="252"/>
              <w:jc w:val="left"/>
            </w:pPr>
            <w:r>
              <w:rPr>
                <w:sz w:val="22"/>
                <w:szCs w:val="22"/>
              </w:rPr>
              <w:t xml:space="preserve">I don't trust that it is clean</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23</w:t>
            </w:r>
          </w:p>
        </w:tc>
      </w:tr>
      <w:tr>
        <w:trPr>
          <w:cantSplit/>
        </w:trPr>
        <w:tc>
          <w:tcPr>
            <w:tcW w:type="dxa" w:w="7392"/>
            <w:tcMar>
              <w:top w:type="dxa" w:w="70"/>
              <w:left w:type="dxa" w:w="100"/>
              <w:bottom w:type="dxa" w:w="70"/>
              <w:right w:type="dxa" w:w="100"/>
            </w:tcMar>
            <w:vAlign w:val="top"/>
          </w:tcPr>
          <w:p>
            <w:pPr>
              <w:keepNext/>
              <w:spacing w:after="0" w:line="252"/>
              <w:jc w:val="left"/>
            </w:pPr>
            <w:r>
              <w:rPr>
                <w:sz w:val="22"/>
                <w:szCs w:val="22"/>
              </w:rPr>
              <w:t xml:space="preserve">No working fountain or filler near my classes</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17</w:t>
            </w:r>
          </w:p>
        </w:tc>
      </w:tr>
      <w:tr>
        <w:trPr>
          <w:cantSplit/>
        </w:trPr>
        <w:tc>
          <w:tcPr>
            <w:tcW w:type="dxa" w:w="7392"/>
            <w:tcMar>
              <w:top w:type="dxa" w:w="70"/>
              <w:left w:type="dxa" w:w="100"/>
              <w:bottom w:type="dxa" w:w="70"/>
              <w:right w:type="dxa" w:w="100"/>
            </w:tcMar>
            <w:vAlign w:val="top"/>
          </w:tcPr>
          <w:p>
            <w:pPr>
              <w:spacing w:after="0" w:line="252"/>
              <w:jc w:val="left"/>
            </w:pPr>
            <w:r>
              <w:rPr>
                <w:sz w:val="22"/>
                <w:szCs w:val="22"/>
              </w:rPr>
              <w:t xml:space="preserve">No time between classes</w:t>
            </w:r>
          </w:p>
        </w:tc>
        <w:tc>
          <w:tcPr>
            <w:tcW w:type="dxa" w:w="2688"/>
            <w:tcMar>
              <w:top w:type="dxa" w:w="70"/>
              <w:left w:type="dxa" w:w="100"/>
              <w:bottom w:type="dxa" w:w="70"/>
              <w:right w:type="dxa" w:w="100"/>
            </w:tcMar>
            <w:vAlign w:val="top"/>
          </w:tcPr>
          <w:p>
            <w:pPr>
              <w:spacing w:after="0" w:line="252"/>
              <w:jc w:val="left"/>
            </w:pPr>
            <w:r>
              <w:rPr>
                <w:sz w:val="22"/>
                <w:szCs w:val="22"/>
              </w:rPr>
              <w:t xml:space="preserve">14</w:t>
            </w:r>
          </w:p>
        </w:tc>
      </w:tr>
    </w:tbl>
    <w:p>
      <w:pPr>
        <w:spacing w:after="160" w:before="0"/>
      </w:pPr>
    </w:p>
    <w:p>
      <w:pPr>
        <w:keepNext/>
        <w:keepLines/>
        <w:spacing w:after="120" w:line="276"/>
      </w:pPr>
      <w:r>
        <w:rPr>
          <w:sz w:val="22"/>
          <w:szCs w:val="22"/>
        </w:rPr>
        <w:t xml:space="preserve">Constraints your team must meet:</w:t>
      </w:r>
    </w:p>
    <w:p>
      <w:pPr>
        <w:pStyle w:val="ListParagraph"/>
        <w:keepLines/>
        <w:numPr>
          <w:ilvl w:val="0"/>
          <w:numId w:val="3"/>
        </w:numPr>
        <w:spacing w:after="60" w:line="276"/>
        <w:ind w:left="720" w:hanging="360"/>
      </w:pPr>
      <w:r>
        <w:rPr>
          <w:sz w:val="22"/>
          <w:szCs w:val="22"/>
        </w:rPr>
        <w:t xml:space="preserve">Sample: survey a random sample of at least 80 students, or the number your teacher sets. Choose it by drawing advisory classes at random or from a random list, never by asking whoever is nearby.</w:t>
      </w:r>
    </w:p>
    <w:p>
      <w:pPr>
        <w:pStyle w:val="ListParagraph"/>
        <w:keepLines/>
        <w:numPr>
          <w:ilvl w:val="0"/>
          <w:numId w:val="3"/>
        </w:numPr>
        <w:spacing w:after="60" w:line="276"/>
        <w:ind w:left="720" w:hanging="360"/>
      </w:pPr>
      <w:r>
        <w:rPr>
          <w:sz w:val="22"/>
          <w:szCs w:val="22"/>
        </w:rPr>
        <w:t xml:space="preserve">Survey: it must be anonymous and voluntary, approved by your teacher and principal, and no longer than 8 questions. It must include the Rushbrook question word for word so your result can be compared with theirs. Do not ask about medical conditions or anything that could identify a student.</w:t>
      </w:r>
    </w:p>
    <w:p>
      <w:pPr>
        <w:pStyle w:val="ListParagraph"/>
        <w:keepLines/>
        <w:numPr>
          <w:ilvl w:val="0"/>
          <w:numId w:val="3"/>
        </w:numPr>
        <w:spacing w:after="60" w:line="276"/>
        <w:ind w:left="720" w:hanging="360"/>
      </w:pPr>
      <w:r>
        <w:rPr>
          <w:sz w:val="22"/>
          <w:szCs w:val="22"/>
        </w:rPr>
        <w:t xml:space="preserve">Audit: record every drinking fountain and bottle filler in the building in the audit table below.</w:t>
      </w:r>
    </w:p>
    <w:p>
      <w:pPr>
        <w:pStyle w:val="ListParagraph"/>
        <w:keepLines/>
        <w:numPr>
          <w:ilvl w:val="0"/>
          <w:numId w:val="3"/>
        </w:numPr>
        <w:spacing w:after="60" w:line="276"/>
        <w:ind w:left="720" w:hanging="360"/>
      </w:pPr>
      <w:r>
        <w:rPr>
          <w:sz w:val="22"/>
          <w:szCs w:val="22"/>
        </w:rPr>
        <w:t xml:space="preserve">Budget: in our scenario, the committee has a fictional grant of $5,000. Your three recommendations must fit within it, using these fictional prices.</w:t>
      </w:r>
    </w:p>
    <w:p>
      <w:pPr>
        <w:spacing w:after="40" w:before="0" w:line="120" w:lineRule="exact"/>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064"/>
        <w:gridCol w:w="1016"/>
      </w:tblGrid>
      <w:tr>
        <w:trPr>
          <w:cantSplit/>
          <w:tblHeader/>
        </w:trPr>
        <w:tc>
          <w:tcPr>
            <w:tcW w:type="dxa" w:w="906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Possible change (fictional prices)</w:t>
            </w:r>
          </w:p>
        </w:tc>
        <w:tc>
          <w:tcPr>
            <w:tcW w:type="dxa" w:w="10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w:t>
            </w:r>
          </w:p>
        </w:tc>
      </w:tr>
      <w:tr>
        <w:trPr>
          <w:cantSplit/>
        </w:trPr>
        <w:tc>
          <w:tcPr>
            <w:tcW w:type="dxa" w:w="9064"/>
            <w:tcMar>
              <w:top w:type="dxa" w:w="70"/>
              <w:left w:type="dxa" w:w="100"/>
              <w:bottom w:type="dxa" w:w="70"/>
              <w:right w:type="dxa" w:w="100"/>
            </w:tcMar>
            <w:vAlign w:val="top"/>
          </w:tcPr>
          <w:p>
            <w:pPr>
              <w:keepNext/>
              <w:spacing w:after="0" w:line="252"/>
              <w:jc w:val="left"/>
            </w:pPr>
            <w:r>
              <w:rPr>
                <w:sz w:val="22"/>
                <w:szCs w:val="22"/>
              </w:rPr>
              <w:t xml:space="preserve">Convert one fountain to a fountain with a bottle filler</w:t>
            </w:r>
          </w:p>
        </w:tc>
        <w:tc>
          <w:tcPr>
            <w:tcW w:type="dxa" w:w="1016"/>
            <w:tcMar>
              <w:top w:type="dxa" w:w="70"/>
              <w:left w:type="dxa" w:w="100"/>
              <w:bottom w:type="dxa" w:w="70"/>
              <w:right w:type="dxa" w:w="100"/>
            </w:tcMar>
            <w:vAlign w:val="top"/>
          </w:tcPr>
          <w:p>
            <w:pPr>
              <w:keepNext/>
              <w:spacing w:after="0" w:line="252"/>
              <w:jc w:val="left"/>
            </w:pPr>
            <w:r>
              <w:rPr>
                <w:sz w:val="22"/>
                <w:szCs w:val="22"/>
              </w:rPr>
              <w:t xml:space="preserve">$1,300</w:t>
            </w:r>
          </w:p>
        </w:tc>
      </w:tr>
      <w:tr>
        <w:trPr>
          <w:cantSplit/>
        </w:trPr>
        <w:tc>
          <w:tcPr>
            <w:tcW w:type="dxa" w:w="9064"/>
            <w:tcMar>
              <w:top w:type="dxa" w:w="70"/>
              <w:left w:type="dxa" w:w="100"/>
              <w:bottom w:type="dxa" w:w="70"/>
              <w:right w:type="dxa" w:w="100"/>
            </w:tcMar>
            <w:vAlign w:val="top"/>
          </w:tcPr>
          <w:p>
            <w:pPr>
              <w:keepNext/>
              <w:spacing w:after="0" w:line="252"/>
              <w:jc w:val="left"/>
            </w:pPr>
            <w:r>
              <w:rPr>
                <w:sz w:val="22"/>
                <w:szCs w:val="22"/>
              </w:rPr>
              <w:t xml:space="preserve">Repair a slow or broken fountain</w:t>
            </w:r>
          </w:p>
        </w:tc>
        <w:tc>
          <w:tcPr>
            <w:tcW w:type="dxa" w:w="1016"/>
            <w:tcMar>
              <w:top w:type="dxa" w:w="70"/>
              <w:left w:type="dxa" w:w="100"/>
              <w:bottom w:type="dxa" w:w="70"/>
              <w:right w:type="dxa" w:w="100"/>
            </w:tcMar>
            <w:vAlign w:val="top"/>
          </w:tcPr>
          <w:p>
            <w:pPr>
              <w:keepNext/>
              <w:spacing w:after="0" w:line="252"/>
              <w:jc w:val="left"/>
            </w:pPr>
            <w:r>
              <w:rPr>
                <w:sz w:val="22"/>
                <w:szCs w:val="22"/>
              </w:rPr>
              <w:t xml:space="preserve">$250</w:t>
            </w:r>
          </w:p>
        </w:tc>
      </w:tr>
      <w:tr>
        <w:trPr>
          <w:cantSplit/>
        </w:trPr>
        <w:tc>
          <w:tcPr>
            <w:tcW w:type="dxa" w:w="9064"/>
            <w:tcMar>
              <w:top w:type="dxa" w:w="70"/>
              <w:left w:type="dxa" w:w="100"/>
              <w:bottom w:type="dxa" w:w="70"/>
              <w:right w:type="dxa" w:w="100"/>
            </w:tcMar>
            <w:vAlign w:val="top"/>
          </w:tcPr>
          <w:p>
            <w:pPr>
              <w:keepNext/>
              <w:spacing w:after="0" w:line="252"/>
              <w:jc w:val="left"/>
            </w:pPr>
            <w:r>
              <w:rPr>
                <w:sz w:val="22"/>
                <w:szCs w:val="22"/>
              </w:rPr>
              <w:t xml:space="preserve">Repair or replace the chiller in one fountain so the water runs cold</w:t>
            </w:r>
          </w:p>
        </w:tc>
        <w:tc>
          <w:tcPr>
            <w:tcW w:type="dxa" w:w="1016"/>
            <w:tcMar>
              <w:top w:type="dxa" w:w="70"/>
              <w:left w:type="dxa" w:w="100"/>
              <w:bottom w:type="dxa" w:w="70"/>
              <w:right w:type="dxa" w:w="100"/>
            </w:tcMar>
            <w:vAlign w:val="top"/>
          </w:tcPr>
          <w:p>
            <w:pPr>
              <w:keepNext/>
              <w:spacing w:after="0" w:line="252"/>
              <w:jc w:val="left"/>
            </w:pPr>
            <w:r>
              <w:rPr>
                <w:sz w:val="22"/>
                <w:szCs w:val="22"/>
              </w:rPr>
              <w:t xml:space="preserve">$900</w:t>
            </w:r>
          </w:p>
        </w:tc>
      </w:tr>
      <w:tr>
        <w:trPr>
          <w:cantSplit/>
        </w:trPr>
        <w:tc>
          <w:tcPr>
            <w:tcW w:type="dxa" w:w="9064"/>
            <w:tcMar>
              <w:top w:type="dxa" w:w="70"/>
              <w:left w:type="dxa" w:w="100"/>
              <w:bottom w:type="dxa" w:w="70"/>
              <w:right w:type="dxa" w:w="100"/>
            </w:tcMar>
            <w:vAlign w:val="top"/>
          </w:tcPr>
          <w:p>
            <w:pPr>
              <w:keepNext/>
              <w:spacing w:after="0" w:line="252"/>
              <w:jc w:val="left"/>
            </w:pPr>
            <w:r>
              <w:rPr>
                <w:sz w:val="22"/>
                <w:szCs w:val="22"/>
              </w:rPr>
              <w:t xml:space="preserve">One year of filter cartridges for one bottle filler</w:t>
            </w:r>
          </w:p>
        </w:tc>
        <w:tc>
          <w:tcPr>
            <w:tcW w:type="dxa" w:w="1016"/>
            <w:tcMar>
              <w:top w:type="dxa" w:w="70"/>
              <w:left w:type="dxa" w:w="100"/>
              <w:bottom w:type="dxa" w:w="70"/>
              <w:right w:type="dxa" w:w="100"/>
            </w:tcMar>
            <w:vAlign w:val="top"/>
          </w:tcPr>
          <w:p>
            <w:pPr>
              <w:keepNext/>
              <w:spacing w:after="0" w:line="252"/>
              <w:jc w:val="left"/>
            </w:pPr>
            <w:r>
              <w:rPr>
                <w:sz w:val="22"/>
                <w:szCs w:val="22"/>
              </w:rPr>
              <w:t xml:space="preserve">$120</w:t>
            </w:r>
          </w:p>
        </w:tc>
      </w:tr>
      <w:tr>
        <w:trPr>
          <w:cantSplit/>
        </w:trPr>
        <w:tc>
          <w:tcPr>
            <w:tcW w:type="dxa" w:w="9064"/>
            <w:tcMar>
              <w:top w:type="dxa" w:w="70"/>
              <w:left w:type="dxa" w:w="100"/>
              <w:bottom w:type="dxa" w:w="70"/>
              <w:right w:type="dxa" w:w="100"/>
            </w:tcMar>
            <w:vAlign w:val="top"/>
          </w:tcPr>
          <w:p>
            <w:pPr>
              <w:keepNext/>
              <w:spacing w:after="0" w:line="252"/>
              <w:jc w:val="left"/>
            </w:pPr>
            <w:r>
              <w:rPr>
                <w:sz w:val="22"/>
                <w:szCs w:val="22"/>
              </w:rPr>
              <w:t xml:space="preserve">Print and post the latest water-test results at every outlet</w:t>
            </w:r>
          </w:p>
        </w:tc>
        <w:tc>
          <w:tcPr>
            <w:tcW w:type="dxa" w:w="1016"/>
            <w:tcMar>
              <w:top w:type="dxa" w:w="70"/>
              <w:left w:type="dxa" w:w="100"/>
              <w:bottom w:type="dxa" w:w="70"/>
              <w:right w:type="dxa" w:w="100"/>
            </w:tcMar>
            <w:vAlign w:val="top"/>
          </w:tcPr>
          <w:p>
            <w:pPr>
              <w:keepNext/>
              <w:spacing w:after="0" w:line="252"/>
              <w:jc w:val="left"/>
            </w:pPr>
            <w:r>
              <w:rPr>
                <w:sz w:val="22"/>
                <w:szCs w:val="22"/>
              </w:rPr>
              <w:t xml:space="preserve">$150</w:t>
            </w:r>
          </w:p>
        </w:tc>
      </w:tr>
      <w:tr>
        <w:trPr>
          <w:cantSplit/>
        </w:trPr>
        <w:tc>
          <w:tcPr>
            <w:tcW w:type="dxa" w:w="9064"/>
            <w:tcMar>
              <w:top w:type="dxa" w:w="70"/>
              <w:left w:type="dxa" w:w="100"/>
              <w:bottom w:type="dxa" w:w="70"/>
              <w:right w:type="dxa" w:w="100"/>
            </w:tcMar>
            <w:vAlign w:val="top"/>
          </w:tcPr>
          <w:p>
            <w:pPr>
              <w:spacing w:after="0" w:line="252"/>
              <w:jc w:val="left"/>
            </w:pPr>
            <w:r>
              <w:rPr>
                <w:sz w:val="22"/>
                <w:szCs w:val="22"/>
              </w:rPr>
              <w:t xml:space="preserve">100 reusable water bottles</w:t>
            </w:r>
          </w:p>
        </w:tc>
        <w:tc>
          <w:tcPr>
            <w:tcW w:type="dxa" w:w="1016"/>
            <w:tcMar>
              <w:top w:type="dxa" w:w="70"/>
              <w:left w:type="dxa" w:w="100"/>
              <w:bottom w:type="dxa" w:w="70"/>
              <w:right w:type="dxa" w:w="100"/>
            </w:tcMar>
            <w:vAlign w:val="top"/>
          </w:tcPr>
          <w:p>
            <w:pPr>
              <w:spacing w:after="0" w:line="252"/>
              <w:jc w:val="left"/>
            </w:pPr>
            <w:r>
              <w:rPr>
                <w:sz w:val="22"/>
                <w:szCs w:val="22"/>
              </w:rPr>
              <w:t xml:space="preserve">$350</w:t>
            </w:r>
          </w:p>
        </w:tc>
      </w:tr>
    </w:tbl>
    <w:p>
      <w:pPr>
        <w:spacing w:after="160" w:before="0"/>
      </w:pPr>
    </w:p>
    <w:p>
      <w:pPr>
        <w:pStyle w:val="ListParagraph"/>
        <w:keepLines/>
        <w:numPr>
          <w:ilvl w:val="0"/>
          <w:numId w:val="4"/>
        </w:numPr>
        <w:spacing w:after="60" w:line="276"/>
        <w:ind w:left="720" w:hanging="360"/>
      </w:pPr>
      <w:r>
        <w:rPr>
          <w:sz w:val="22"/>
          <w:szCs w:val="22"/>
        </w:rPr>
        <w:t xml:space="preserve">Balance: include one change aimed at access (where water is and whether it works), one aimed at trust (whether students believe it is safe), and one aimed at habits (whether students think to drink).</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sz w:val="22"/>
          <w:szCs w:val="22"/>
        </w:rPr>
        <w:t xml:space="preserve">Fountain audit table (one row per outlet):</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57"/>
        <w:gridCol w:w="2348"/>
        <w:gridCol w:w="1157"/>
        <w:gridCol w:w="2395"/>
        <w:gridCol w:w="2333"/>
        <w:gridCol w:w="2035"/>
        <w:gridCol w:w="2255"/>
      </w:tblGrid>
      <w:tr>
        <w:trPr>
          <w:cantSplit/>
          <w:tblHeader/>
        </w:trPr>
        <w:tc>
          <w:tcPr>
            <w:tcW w:type="dxa" w:w="11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Location</w:t>
            </w:r>
          </w:p>
        </w:tc>
        <w:tc>
          <w:tcPr>
            <w:tcW w:type="dxa" w:w="23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Fountain only, or with bottle filler</w:t>
            </w:r>
          </w:p>
        </w:tc>
        <w:tc>
          <w:tcPr>
            <w:tcW w:type="dxa" w:w="11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Working?</w:t>
            </w:r>
          </w:p>
        </w:tc>
        <w:tc>
          <w:tcPr>
            <w:tcW w:type="dxa" w:w="23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Water temperature after 5 seconds of running</w:t>
            </w:r>
          </w:p>
        </w:tc>
        <w:tc>
          <w:tcPr>
            <w:tcW w:type="dxa" w:w="23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Seconds to fill a 500 mL bottle</w:t>
            </w:r>
          </w:p>
        </w:tc>
        <w:tc>
          <w:tcPr>
            <w:tcW w:type="dxa" w:w="20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Clean, or needs cleaning</w:t>
            </w:r>
          </w:p>
        </w:tc>
        <w:tc>
          <w:tcPr>
            <w:tcW w:type="dxa" w:w="225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Test results posted nearby?</w:t>
            </w:r>
          </w:p>
        </w:tc>
      </w:tr>
      <w:tr>
        <w:trPr>
          <w:cantSplit/>
        </w:trPr>
        <w:tc>
          <w:tcPr>
            <w:tcW w:type="dxa" w:w="1157"/>
            <w:tcMar>
              <w:top w:type="dxa" w:w="70"/>
              <w:left w:type="dxa" w:w="100"/>
              <w:bottom w:type="dxa" w:w="70"/>
              <w:right w:type="dxa" w:w="100"/>
            </w:tcMar>
            <w:vAlign w:val="top"/>
          </w:tcPr>
          <w:p>
            <w:pPr>
              <w:spacing w:after="0" w:line="252"/>
              <w:jc w:val="left"/>
            </w:pPr>
          </w:p>
        </w:tc>
        <w:tc>
          <w:tcPr>
            <w:tcW w:type="dxa" w:w="2348"/>
            <w:tcMar>
              <w:top w:type="dxa" w:w="70"/>
              <w:left w:type="dxa" w:w="100"/>
              <w:bottom w:type="dxa" w:w="70"/>
              <w:right w:type="dxa" w:w="100"/>
            </w:tcMar>
            <w:vAlign w:val="top"/>
          </w:tcPr>
          <w:p>
            <w:pPr>
              <w:spacing w:after="0" w:line="252"/>
              <w:jc w:val="left"/>
            </w:pPr>
          </w:p>
        </w:tc>
        <w:tc>
          <w:tcPr>
            <w:tcW w:type="dxa" w:w="1157"/>
            <w:tcMar>
              <w:top w:type="dxa" w:w="70"/>
              <w:left w:type="dxa" w:w="100"/>
              <w:bottom w:type="dxa" w:w="70"/>
              <w:right w:type="dxa" w:w="100"/>
            </w:tcMar>
            <w:vAlign w:val="top"/>
          </w:tcPr>
          <w:p>
            <w:pPr>
              <w:spacing w:after="0" w:line="252"/>
              <w:jc w:val="left"/>
            </w:pPr>
          </w:p>
        </w:tc>
        <w:tc>
          <w:tcPr>
            <w:tcW w:type="dxa" w:w="2395"/>
            <w:tcMar>
              <w:top w:type="dxa" w:w="70"/>
              <w:left w:type="dxa" w:w="100"/>
              <w:bottom w:type="dxa" w:w="70"/>
              <w:right w:type="dxa" w:w="100"/>
            </w:tcMar>
            <w:vAlign w:val="top"/>
          </w:tcPr>
          <w:p>
            <w:pPr>
              <w:spacing w:after="0" w:line="252"/>
              <w:jc w:val="left"/>
            </w:pPr>
          </w:p>
        </w:tc>
        <w:tc>
          <w:tcPr>
            <w:tcW w:type="dxa" w:w="2333"/>
            <w:tcMar>
              <w:top w:type="dxa" w:w="70"/>
              <w:left w:type="dxa" w:w="100"/>
              <w:bottom w:type="dxa" w:w="70"/>
              <w:right w:type="dxa" w:w="100"/>
            </w:tcMar>
            <w:vAlign w:val="top"/>
          </w:tcPr>
          <w:p>
            <w:pPr>
              <w:spacing w:after="0" w:line="252"/>
              <w:jc w:val="left"/>
            </w:pPr>
          </w:p>
        </w:tc>
        <w:tc>
          <w:tcPr>
            <w:tcW w:type="dxa" w:w="2035"/>
            <w:tcMar>
              <w:top w:type="dxa" w:w="70"/>
              <w:left w:type="dxa" w:w="100"/>
              <w:bottom w:type="dxa" w:w="70"/>
              <w:right w:type="dxa" w:w="100"/>
            </w:tcMar>
            <w:vAlign w:val="top"/>
          </w:tcPr>
          <w:p>
            <w:pPr>
              <w:spacing w:after="0" w:line="252"/>
              <w:jc w:val="left"/>
            </w:pPr>
          </w:p>
        </w:tc>
        <w:tc>
          <w:tcPr>
            <w:tcW w:type="dxa" w:w="2255"/>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20" w:line="276"/>
      </w:pPr>
      <w:r>
        <w:rPr>
          <w:sz w:val="22"/>
          <w:szCs w:val="22"/>
        </w:rPr>
        <w:t xml:space="preserve">Final deliverables:</w:t>
      </w:r>
    </w:p>
    <w:p>
      <w:pPr>
        <w:pStyle w:val="ListParagraph"/>
        <w:keepLines/>
        <w:numPr>
          <w:ilvl w:val="0"/>
          <w:numId w:val="5"/>
        </w:numPr>
        <w:spacing w:after="60" w:line="276"/>
        <w:ind w:left="720" w:hanging="360"/>
      </w:pPr>
      <w:r>
        <w:rPr>
          <w:sz w:val="22"/>
          <w:szCs w:val="22"/>
        </w:rPr>
        <w:t xml:space="preserve">A written proposal of two to three pages that includes your sampling method, your estimate with its margin of error, a chart of the reasons students gave, a summary of the audit, three recommendations with costs and the evidence behind each, and a paragraph on the limits of your study.</w:t>
      </w:r>
    </w:p>
    <w:p>
      <w:pPr>
        <w:pStyle w:val="ListParagraph"/>
        <w:keepLines/>
        <w:numPr>
          <w:ilvl w:val="0"/>
          <w:numId w:val="5"/>
        </w:numPr>
        <w:spacing w:after="60" w:line="276"/>
        <w:ind w:left="720" w:hanging="360"/>
      </w:pPr>
      <w:r>
        <w:rPr>
          <w:sz w:val="22"/>
          <w:szCs w:val="22"/>
        </w:rPr>
        <w:t xml:space="preserve">A five-minute presentation to the wellness committee, or to a panel of classmates and staff playing the committee.</w:t>
      </w:r>
    </w:p>
    <w:p>
      <w:pPr>
        <w:spacing w:after="40" w:before="0" w:line="120" w:lineRule="exact"/>
      </w:pPr>
    </w:p>
    <w:p>
      <w:pPr>
        <w:pStyle w:val="Heading2"/>
        <w:keepNext/>
        <w:keepLines/>
      </w:pPr>
      <w:r>
        <w:rPr>
          <w:sz w:val="28"/>
          <w:szCs w:val="28"/>
        </w:rPr>
        <w:t xml:space="preserve">Milestones</w:t>
      </w:r>
    </w:p>
    <w:p>
      <w:pPr>
        <w:pStyle w:val="ListParagraph"/>
        <w:keepLines/>
        <w:numPr>
          <w:ilvl w:val="0"/>
          <w:numId w:val="6"/>
        </w:numPr>
        <w:spacing w:after="100" w:line="276"/>
        <w:ind w:left="720" w:hanging="360"/>
      </w:pPr>
      <w:r>
        <w:rPr>
          <w:sz w:val="22"/>
          <w:szCs w:val="22"/>
        </w:rPr>
        <w:t xml:space="preserve">Session 1: Health background, survey draft, and sampling plan. Read the Project Brief and discuss which Rushbrook reasons you expect to see at your school. Draft a survey of no more than 8 questions that includes the required yes or no question. Write a sampling plan that names how many advisory classes you will draw, how you will draw them at random, and about how many students that gives you. Output: the draft survey and sampling plan, approved by your teacher.</w:t>
      </w:r>
    </w:p>
    <w:p>
      <w:pPr>
        <w:pStyle w:val="ListParagraph"/>
        <w:keepLines/>
        <w:numPr>
          <w:ilvl w:val="0"/>
          <w:numId w:val="6"/>
        </w:numPr>
        <w:spacing w:after="100" w:line="276"/>
        <w:ind w:left="720" w:hanging="360"/>
      </w:pPr>
      <w:r>
        <w:rPr>
          <w:sz w:val="22"/>
          <w:szCs w:val="22"/>
        </w:rPr>
        <w:t xml:space="preserve">Session 2: Fountain audit and pilot test. In pairs, visit every outlet on the floor plan and complete one row of the audit table for each. Run the water for 5 seconds before taking its temperature, and time how long it takes to fill the 500 mL bottle. Then try your survey on five classmates and fix any question they found unclear. Output: the completed audit table and the final survey with a list of changes. Between Sessions 2 and 3, give the survey in the advisory classes you drew, following your teacher's schedule.</w:t>
      </w:r>
    </w:p>
    <w:p>
      <w:pPr>
        <w:pStyle w:val="ListParagraph"/>
        <w:keepLines/>
        <w:numPr>
          <w:ilvl w:val="0"/>
          <w:numId w:val="6"/>
        </w:numPr>
        <w:spacing w:after="100" w:line="276"/>
        <w:ind w:left="720" w:hanging="360"/>
      </w:pPr>
      <w:r>
        <w:rPr>
          <w:sz w:val="22"/>
          <w:szCs w:val="22"/>
        </w:rPr>
        <w:t xml:space="preserve">Session 3: Data entry and first look. Enter every response, remove blank or duplicate forms, and find your sample proportion for the required question. Make a bar chart of the reasons students gave, and put your proportion next to Rushbrook's 54 out of 120. Output: a cleaned data file, your sample proportion, and the reasons chart.</w:t>
      </w:r>
    </w:p>
    <w:p>
      <w:pPr>
        <w:pStyle w:val="ListParagraph"/>
        <w:keepLines/>
        <w:numPr>
          <w:ilvl w:val="0"/>
          <w:numId w:val="6"/>
        </w:numPr>
        <w:spacing w:after="100" w:line="276"/>
        <w:ind w:left="720" w:hanging="360"/>
      </w:pPr>
      <w:r>
        <w:rPr>
          <w:sz w:val="22"/>
          <w:szCs w:val="22"/>
        </w:rPr>
        <w:t xml:space="preserve">Session 4: Margin of error and health analysis. Practice first with the Rushbrook result. Use a random number generator to simulate at least 200 samples of 120 students, where each simulated student answers yes with probability 54/120. Find the middle 95 percent of the simulated proportions and the margin of error it gives. Repeat the process with your own sample size and sample proportion. Then write one paragraph that links your two most common reasons to student hydration and health. Output: your estimate stated as a proportion plus or minus a margin of error, and the health paragraph.</w:t>
      </w:r>
    </w:p>
    <w:p>
      <w:pPr>
        <w:pStyle w:val="ListParagraph"/>
        <w:keepLines/>
        <w:numPr>
          <w:ilvl w:val="0"/>
          <w:numId w:val="6"/>
        </w:numPr>
        <w:spacing w:after="100" w:line="276"/>
        <w:ind w:left="720" w:hanging="360"/>
      </w:pPr>
      <w:r>
        <w:rPr>
          <w:sz w:val="22"/>
          <w:szCs w:val="22"/>
        </w:rPr>
        <w:t xml:space="preserve">Session 5: Proposal and presentation. Choose three changes that meet the balance rule and fit within the $5,000 budget, and connect each one to a specific finding from your survey or audit. Finish the written proposal, including its limits paragraph, and present it to the committee or panel. Output: the final proposal and the five-minute presentation.</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Student Hydration and School Fountains: A Random-Sample Survey</w:t>
      </w:r>
    </w:p>
    <w:p>
      <w:pPr>
        <w:keepNext/>
        <w:spacing w:after="160"/>
      </w:pPr>
      <w:r>
        <w:rPr>
          <w:color w:val="5B6B70"/>
          <w:sz w:val="20"/>
          <w:szCs w:val="20"/>
        </w:rPr>
        <w:t xml:space="preserve">Project · Grade 11 · Health &amp; Consumer Science</w:t>
      </w:r>
    </w:p>
    <w:p>
      <w:pPr>
        <w:spacing w:after="100" w:line="264"/>
      </w:pPr>
      <w:r>
        <w:rPr>
          <w:sz w:val="22"/>
          <w:szCs w:val="22"/>
        </w:rPr>
        <w:t xml:space="preserve">Teacher reference: for the Rushbrook practice in Milestone 4, the sample proportion is 54 ÷ 120 = 0.45, and a simulation of a few hundred samples gives a middle 95 percent range of roughly 0.36 to 0.54, a margin of error near 0.09. Students' simulated ranges will differ slightly from run to run, and that variation is itself worth discussing.</w:t>
      </w:r>
    </w:p>
    <w:p>
      <w:pPr>
        <w:spacing w:before="0" w:after="0" w:line="20" w:lineRule="exact"/>
        <w:rPr>
          <w:sz w:val="2"/>
          <w:szCs w:val="2"/>
        </w:rPr>
        <w:sectPr>
          <w:footerReference w:type="default" r:id="rId10"/>
          <w:pgSz w:w="12240" w:h="15840" w:orient="portrait"/>
          <w:pgMar w:top="1080" w:right="1080" w:bottom="1080" w:left="1080" w:header="500" w:footer="500" w:gutter="0"/>
          <w:pgNumType/>
          <w:docGrid w:linePitch="360"/>
        </w:sectPr>
      </w:pP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20"/>
        <w:gridCol w:w="2930"/>
        <w:gridCol w:w="2994"/>
        <w:gridCol w:w="2993"/>
        <w:gridCol w:w="2943"/>
      </w:tblGrid>
      <w:tr>
        <w:trPr>
          <w:cantSplit/>
          <w:tblHeader/>
        </w:trPr>
        <w:tc>
          <w:tcPr>
            <w:tcW w:type="dxa" w:w="1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9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Beginning</w:t>
            </w:r>
          </w:p>
        </w:tc>
        <w:tc>
          <w:tcPr>
            <w:tcW w:type="dxa" w:w="299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9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29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Sampling and survey design</w:t>
            </w:r>
          </w:p>
        </w:tc>
        <w:tc>
          <w:tcPr>
            <w:tcW w:type="dxa" w:w="2930"/>
            <w:tcMar>
              <w:top w:type="dxa" w:w="70"/>
              <w:left w:type="dxa" w:w="100"/>
              <w:bottom w:type="dxa" w:w="70"/>
              <w:right w:type="dxa" w:w="100"/>
            </w:tcMar>
            <w:vAlign w:val="top"/>
          </w:tcPr>
          <w:p>
            <w:pPr>
              <w:spacing w:after="0" w:line="252"/>
              <w:jc w:val="left"/>
            </w:pPr>
            <w:r>
              <w:rPr>
                <w:sz w:val="20"/>
                <w:szCs w:val="20"/>
              </w:rPr>
              <w:t xml:space="preserve">The sample was chosen by convenience, or the survey omits the required question.</w:t>
            </w:r>
          </w:p>
        </w:tc>
        <w:tc>
          <w:tcPr>
            <w:tcW w:type="dxa" w:w="2994"/>
            <w:tcMar>
              <w:top w:type="dxa" w:w="70"/>
              <w:left w:type="dxa" w:w="100"/>
              <w:bottom w:type="dxa" w:w="70"/>
              <w:right w:type="dxa" w:w="100"/>
            </w:tcMar>
            <w:vAlign w:val="top"/>
          </w:tcPr>
          <w:p>
            <w:pPr>
              <w:spacing w:after="0" w:line="252"/>
              <w:jc w:val="left"/>
            </w:pPr>
            <w:r>
              <w:rPr>
                <w:sz w:val="20"/>
                <w:szCs w:val="20"/>
              </w:rPr>
              <w:t xml:space="preserve">The sample was partly random, or the proposal does not explain how students were chosen.</w:t>
            </w:r>
          </w:p>
        </w:tc>
        <w:tc>
          <w:tcPr>
            <w:tcW w:type="dxa" w:w="2993"/>
            <w:tcMar>
              <w:top w:type="dxa" w:w="70"/>
              <w:left w:type="dxa" w:w="100"/>
              <w:bottom w:type="dxa" w:w="70"/>
              <w:right w:type="dxa" w:w="100"/>
            </w:tcMar>
            <w:vAlign w:val="top"/>
          </w:tcPr>
          <w:p>
            <w:pPr>
              <w:spacing w:after="0" w:line="252"/>
              <w:jc w:val="left"/>
            </w:pPr>
            <w:r>
              <w:rPr>
                <w:sz w:val="20"/>
                <w:szCs w:val="20"/>
              </w:rPr>
              <w:t xml:space="preserve">Advisory classes or students were drawn at random, the survey meets every survey constraint, and the proposal explains why random selection supports a school-wide conclusion.</w:t>
            </w:r>
          </w:p>
        </w:tc>
        <w:tc>
          <w:tcPr>
            <w:tcW w:type="dxa" w:w="2943"/>
            <w:tcMar>
              <w:top w:type="dxa" w:w="70"/>
              <w:left w:type="dxa" w:w="100"/>
              <w:bottom w:type="dxa" w:w="70"/>
              <w:right w:type="dxa" w:w="100"/>
            </w:tcMar>
            <w:vAlign w:val="top"/>
          </w:tcPr>
          <w:p>
            <w:pPr>
              <w:spacing w:after="0" w:line="252"/>
              <w:jc w:val="left"/>
            </w:pPr>
            <w:r>
              <w:rPr>
                <w:sz w:val="20"/>
                <w:szCs w:val="20"/>
              </w:rPr>
              <w:t xml:space="preserve">Meets Proficient and also identifies a specific way the sample could still be biased, such as absent students or classes that were not drawn, and estimates its likely direction.</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Estimate and margin of error</w:t>
            </w:r>
          </w:p>
        </w:tc>
        <w:tc>
          <w:tcPr>
            <w:tcW w:type="dxa" w:w="2930"/>
            <w:tcMar>
              <w:top w:type="dxa" w:w="70"/>
              <w:left w:type="dxa" w:w="100"/>
              <w:bottom w:type="dxa" w:w="70"/>
              <w:right w:type="dxa" w:w="100"/>
            </w:tcMar>
            <w:vAlign w:val="top"/>
          </w:tcPr>
          <w:p>
            <w:pPr>
              <w:spacing w:after="0" w:line="252"/>
              <w:jc w:val="left"/>
            </w:pPr>
            <w:r>
              <w:rPr>
                <w:sz w:val="20"/>
                <w:szCs w:val="20"/>
              </w:rPr>
              <w:t xml:space="preserve">No proportion is reported, or it is calculated incorrectly.</w:t>
            </w:r>
          </w:p>
        </w:tc>
        <w:tc>
          <w:tcPr>
            <w:tcW w:type="dxa" w:w="2994"/>
            <w:tcMar>
              <w:top w:type="dxa" w:w="70"/>
              <w:left w:type="dxa" w:w="100"/>
              <w:bottom w:type="dxa" w:w="70"/>
              <w:right w:type="dxa" w:w="100"/>
            </w:tcMar>
            <w:vAlign w:val="top"/>
          </w:tcPr>
          <w:p>
            <w:pPr>
              <w:spacing w:after="0" w:line="252"/>
              <w:jc w:val="left"/>
            </w:pPr>
            <w:r>
              <w:rPr>
                <w:sz w:val="20"/>
                <w:szCs w:val="20"/>
              </w:rPr>
              <w:t xml:space="preserve">The proportion is correct, but the margin of error is missing or guessed rather than simulated.</w:t>
            </w:r>
          </w:p>
        </w:tc>
        <w:tc>
          <w:tcPr>
            <w:tcW w:type="dxa" w:w="2993"/>
            <w:tcMar>
              <w:top w:type="dxa" w:w="70"/>
              <w:left w:type="dxa" w:w="100"/>
              <w:bottom w:type="dxa" w:w="70"/>
              <w:right w:type="dxa" w:w="100"/>
            </w:tcMar>
            <w:vAlign w:val="top"/>
          </w:tcPr>
          <w:p>
            <w:pPr>
              <w:spacing w:after="0" w:line="252"/>
              <w:jc w:val="left"/>
            </w:pPr>
            <w:r>
              <w:rPr>
                <w:sz w:val="20"/>
                <w:szCs w:val="20"/>
              </w:rPr>
              <w:t xml:space="preserve">The proportion is correct and the margin of error comes from at least 200 simulated samples, stated clearly as a range.</w:t>
            </w:r>
          </w:p>
        </w:tc>
        <w:tc>
          <w:tcPr>
            <w:tcW w:type="dxa" w:w="2943"/>
            <w:tcMar>
              <w:top w:type="dxa" w:w="70"/>
              <w:left w:type="dxa" w:w="100"/>
              <w:bottom w:type="dxa" w:w="70"/>
              <w:right w:type="dxa" w:w="100"/>
            </w:tcMar>
            <w:vAlign w:val="top"/>
          </w:tcPr>
          <w:p>
            <w:pPr>
              <w:spacing w:after="0" w:line="252"/>
              <w:jc w:val="left"/>
            </w:pPr>
            <w:r>
              <w:rPr>
                <w:sz w:val="20"/>
                <w:szCs w:val="20"/>
              </w:rPr>
              <w:t xml:space="preserve">Meets Proficient and also uses the margin of error to judge whether the school's rate truly differs from Rushbrook's 0.45 or might differ only by chance.</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Audit and health reasoning</w:t>
            </w:r>
          </w:p>
        </w:tc>
        <w:tc>
          <w:tcPr>
            <w:tcW w:type="dxa" w:w="2930"/>
            <w:tcMar>
              <w:top w:type="dxa" w:w="70"/>
              <w:left w:type="dxa" w:w="100"/>
              <w:bottom w:type="dxa" w:w="70"/>
              <w:right w:type="dxa" w:w="100"/>
            </w:tcMar>
            <w:vAlign w:val="top"/>
          </w:tcPr>
          <w:p>
            <w:pPr>
              <w:spacing w:after="0" w:line="252"/>
              <w:jc w:val="left"/>
            </w:pPr>
            <w:r>
              <w:rPr>
                <w:sz w:val="20"/>
                <w:szCs w:val="20"/>
              </w:rPr>
              <w:t xml:space="preserve">The audit is missing outlets, and the health link is absent or inaccurate.</w:t>
            </w:r>
          </w:p>
        </w:tc>
        <w:tc>
          <w:tcPr>
            <w:tcW w:type="dxa" w:w="2994"/>
            <w:tcMar>
              <w:top w:type="dxa" w:w="70"/>
              <w:left w:type="dxa" w:w="100"/>
              <w:bottom w:type="dxa" w:w="70"/>
              <w:right w:type="dxa" w:w="100"/>
            </w:tcMar>
            <w:vAlign w:val="top"/>
          </w:tcPr>
          <w:p>
            <w:pPr>
              <w:spacing w:after="0" w:line="252"/>
              <w:jc w:val="left"/>
            </w:pPr>
            <w:r>
              <w:rPr>
                <w:sz w:val="20"/>
                <w:szCs w:val="20"/>
              </w:rPr>
              <w:t xml:space="preserve">The audit is complete, but the health paragraph only restates that water is healthy.</w:t>
            </w:r>
          </w:p>
        </w:tc>
        <w:tc>
          <w:tcPr>
            <w:tcW w:type="dxa" w:w="2993"/>
            <w:tcMar>
              <w:top w:type="dxa" w:w="70"/>
              <w:left w:type="dxa" w:w="100"/>
              <w:bottom w:type="dxa" w:w="70"/>
              <w:right w:type="dxa" w:w="100"/>
            </w:tcMar>
            <w:vAlign w:val="top"/>
          </w:tcPr>
          <w:p>
            <w:pPr>
              <w:spacing w:after="0" w:line="252"/>
              <w:jc w:val="left"/>
            </w:pPr>
            <w:r>
              <w:rPr>
                <w:sz w:val="20"/>
                <w:szCs w:val="20"/>
              </w:rPr>
              <w:t xml:space="preserve">The audit is complete, and the health paragraph accurately links the top barriers to hydration, added sugar, or trust in the water, using the health background.</w:t>
            </w:r>
          </w:p>
        </w:tc>
        <w:tc>
          <w:tcPr>
            <w:tcW w:type="dxa" w:w="2943"/>
            <w:tcMar>
              <w:top w:type="dxa" w:w="70"/>
              <w:left w:type="dxa" w:w="100"/>
              <w:bottom w:type="dxa" w:w="70"/>
              <w:right w:type="dxa" w:w="100"/>
            </w:tcMar>
            <w:vAlign w:val="top"/>
          </w:tcPr>
          <w:p>
            <w:pPr>
              <w:spacing w:after="0" w:line="252"/>
              <w:jc w:val="left"/>
            </w:pPr>
            <w:r>
              <w:rPr>
                <w:sz w:val="20"/>
                <w:szCs w:val="20"/>
              </w:rPr>
              <w:t xml:space="preserve">Meets Proficient and also shows how one audit finding, such as warm water at a specific outlet, explains part of the survey result.</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Recommendations within the constraints</w:t>
            </w:r>
          </w:p>
        </w:tc>
        <w:tc>
          <w:tcPr>
            <w:tcW w:type="dxa" w:w="2930"/>
            <w:tcMar>
              <w:top w:type="dxa" w:w="70"/>
              <w:left w:type="dxa" w:w="100"/>
              <w:bottom w:type="dxa" w:w="70"/>
              <w:right w:type="dxa" w:w="100"/>
            </w:tcMar>
            <w:vAlign w:val="top"/>
          </w:tcPr>
          <w:p>
            <w:pPr>
              <w:spacing w:after="0" w:line="252"/>
              <w:jc w:val="left"/>
            </w:pPr>
            <w:r>
              <w:rPr>
                <w:sz w:val="20"/>
                <w:szCs w:val="20"/>
              </w:rPr>
              <w:t xml:space="preserve">Fewer than three recommendations, or the total cost exceeds the budget.</w:t>
            </w:r>
          </w:p>
        </w:tc>
        <w:tc>
          <w:tcPr>
            <w:tcW w:type="dxa" w:w="2994"/>
            <w:tcMar>
              <w:top w:type="dxa" w:w="70"/>
              <w:left w:type="dxa" w:w="100"/>
              <w:bottom w:type="dxa" w:w="70"/>
              <w:right w:type="dxa" w:w="100"/>
            </w:tcMar>
            <w:vAlign w:val="top"/>
          </w:tcPr>
          <w:p>
            <w:pPr>
              <w:spacing w:after="0" w:line="252"/>
              <w:jc w:val="left"/>
            </w:pPr>
            <w:r>
              <w:rPr>
                <w:sz w:val="20"/>
                <w:szCs w:val="20"/>
              </w:rPr>
              <w:t xml:space="preserve">Three recommendations within budget, but the balance rule is not met or costs are not shown.</w:t>
            </w:r>
          </w:p>
        </w:tc>
        <w:tc>
          <w:tcPr>
            <w:tcW w:type="dxa" w:w="2993"/>
            <w:tcMar>
              <w:top w:type="dxa" w:w="70"/>
              <w:left w:type="dxa" w:w="100"/>
              <w:bottom w:type="dxa" w:w="70"/>
              <w:right w:type="dxa" w:w="100"/>
            </w:tcMar>
            <w:vAlign w:val="top"/>
          </w:tcPr>
          <w:p>
            <w:pPr>
              <w:spacing w:after="0" w:line="252"/>
              <w:jc w:val="left"/>
            </w:pPr>
            <w:r>
              <w:rPr>
                <w:sz w:val="20"/>
                <w:szCs w:val="20"/>
              </w:rPr>
              <w:t xml:space="preserve">Three recommendations that meet the balance rule, fit within $5,000 with costs shown, and are each tied to a survey or audit finding.</w:t>
            </w:r>
          </w:p>
        </w:tc>
        <w:tc>
          <w:tcPr>
            <w:tcW w:type="dxa" w:w="2943"/>
            <w:tcMar>
              <w:top w:type="dxa" w:w="70"/>
              <w:left w:type="dxa" w:w="100"/>
              <w:bottom w:type="dxa" w:w="70"/>
              <w:right w:type="dxa" w:w="100"/>
            </w:tcMar>
            <w:vAlign w:val="top"/>
          </w:tcPr>
          <w:p>
            <w:pPr>
              <w:spacing w:after="0" w:line="252"/>
              <w:jc w:val="left"/>
            </w:pPr>
            <w:r>
              <w:rPr>
                <w:sz w:val="20"/>
                <w:szCs w:val="20"/>
              </w:rPr>
              <w:t xml:space="preserve">Meets Proficient and also explains how the committee could check next year whether each change worked.</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Communication</w:t>
            </w:r>
          </w:p>
        </w:tc>
        <w:tc>
          <w:tcPr>
            <w:tcW w:type="dxa" w:w="2930"/>
            <w:tcMar>
              <w:top w:type="dxa" w:w="70"/>
              <w:left w:type="dxa" w:w="100"/>
              <w:bottom w:type="dxa" w:w="70"/>
              <w:right w:type="dxa" w:w="100"/>
            </w:tcMar>
            <w:vAlign w:val="top"/>
          </w:tcPr>
          <w:p>
            <w:pPr>
              <w:spacing w:after="0" w:line="252"/>
              <w:jc w:val="left"/>
            </w:pPr>
            <w:r>
              <w:rPr>
                <w:sz w:val="20"/>
                <w:szCs w:val="20"/>
              </w:rPr>
              <w:t xml:space="preserve">The proposal is disorganized, and the presentation runs well over or under five minutes.</w:t>
            </w:r>
          </w:p>
        </w:tc>
        <w:tc>
          <w:tcPr>
            <w:tcW w:type="dxa" w:w="2994"/>
            <w:tcMar>
              <w:top w:type="dxa" w:w="70"/>
              <w:left w:type="dxa" w:w="100"/>
              <w:bottom w:type="dxa" w:w="70"/>
              <w:right w:type="dxa" w:w="100"/>
            </w:tcMar>
            <w:vAlign w:val="top"/>
          </w:tcPr>
          <w:p>
            <w:pPr>
              <w:spacing w:after="0" w:line="252"/>
              <w:jc w:val="left"/>
            </w:pPr>
            <w:r>
              <w:rPr>
                <w:sz w:val="20"/>
                <w:szCs w:val="20"/>
              </w:rPr>
              <w:t xml:space="preserve">The proposal covers most required parts but is hard to follow in places.</w:t>
            </w:r>
          </w:p>
        </w:tc>
        <w:tc>
          <w:tcPr>
            <w:tcW w:type="dxa" w:w="2993"/>
            <w:tcMar>
              <w:top w:type="dxa" w:w="70"/>
              <w:left w:type="dxa" w:w="100"/>
              <w:bottom w:type="dxa" w:w="70"/>
              <w:right w:type="dxa" w:w="100"/>
            </w:tcMar>
            <w:vAlign w:val="top"/>
          </w:tcPr>
          <w:p>
            <w:pPr>
              <w:spacing w:after="0" w:line="252"/>
              <w:jc w:val="left"/>
            </w:pPr>
            <w:r>
              <w:rPr>
                <w:sz w:val="20"/>
                <w:szCs w:val="20"/>
              </w:rPr>
              <w:t xml:space="preserve">The proposal includes every required part in a clear order, and the presentation stays within five minutes and answers questions accurately.</w:t>
            </w:r>
          </w:p>
        </w:tc>
        <w:tc>
          <w:tcPr>
            <w:tcW w:type="dxa" w:w="2943"/>
            <w:tcMar>
              <w:top w:type="dxa" w:w="70"/>
              <w:left w:type="dxa" w:w="100"/>
              <w:bottom w:type="dxa" w:w="70"/>
              <w:right w:type="dxa" w:w="100"/>
            </w:tcMar>
            <w:vAlign w:val="top"/>
          </w:tcPr>
          <w:p>
            <w:pPr>
              <w:spacing w:after="0" w:line="252"/>
              <w:jc w:val="left"/>
            </w:pPr>
            <w:r>
              <w:rPr>
                <w:sz w:val="20"/>
                <w:szCs w:val="20"/>
              </w:rPr>
              <w:t xml:space="preserve">Meets Proficient and also presents the chart and estimate so that a committee member with no statistics background could explain them afterward.</w:t>
            </w:r>
          </w:p>
        </w:tc>
      </w:tr>
    </w:tbl>
    <w:sectPr>
      <w:footerReference w:type="default" r:id="rId11"/>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Hydration and School Fountains: A Random-Sample Survey</dc:title>
  <dc:subject>Project · Grade 11 · Health &amp; Consumer Science</dc:subject>
  <dc:creator>Water for Schools</dc:creator>
  <cp:keywords>Project, Grade 11, Health &amp; Consumer Science</cp:keywords>
  <dc:description>Teams audit every school fountain, survey a random sample of students, estimate tap-water use with a simulated margin of error, and pitch a budgeted plan.</dc:description>
  <cp:lastModifiedBy>Water for Schools</cp:lastModifiedBy>
  <cp:revision>1</cp:revision>
  <dcterms:created xsi:type="dcterms:W3CDTF">2026-10-19T16:29:06.439Z</dcterms:created>
  <dcterms:modified xsi:type="dcterms:W3CDTF">2026-10-19T16:29:06.439Z</dcterms:modified>
</cp:coreProperties>
</file>

<file path=docProps/custom.xml><?xml version="1.0" encoding="utf-8"?>
<Properties xmlns="http://schemas.openxmlformats.org/officeDocument/2006/custom-properties" xmlns:vt="http://schemas.openxmlformats.org/officeDocument/2006/docPropsVTypes"/>
</file>