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Reading the Sewer: How Hensford Tracks Illness Through Wastewater</w:t>
      </w:r>
    </w:p>
    <w:p>
      <w:pPr>
        <w:keepNext/>
        <w:spacing w:after="160"/>
      </w:pPr>
      <w:r>
        <w:rPr>
          <w:color w:val="5B6B70"/>
          <w:sz w:val="20"/>
          <w:szCs w:val="20"/>
        </w:rPr>
        <w:t xml:space="preserve">Reading passage · Grade 12 · Health &amp; Consumer Science</w:t>
      </w:r>
    </w:p>
    <w:p>
      <w:pPr>
        <w:spacing w:after="100" w:line="264"/>
      </w:pPr>
      <w:r>
        <w:rPr>
          <w:i/>
          <w:iCs/>
          <w:color w:val="12333F"/>
          <w:sz w:val="22"/>
          <w:szCs w:val="22"/>
        </w:rPr>
        <w:t xml:space="preserve">A grade 12 health passage on wastewater surveillance in a fictional town, with a data table and questions on early warning, rain dilution, privacy, and handwashing.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genetic material shed by sick people allows samples of a treatment plant's incoming wastewater to track illness across a community.</w:t>
      </w:r>
    </w:p>
    <w:p>
      <w:pPr>
        <w:pStyle w:val="ListParagraph"/>
        <w:keepNext/>
        <w:keepLines/>
        <w:numPr>
          <w:ilvl w:val="0"/>
          <w:numId w:val="2"/>
        </w:numPr>
        <w:spacing w:after="60" w:line="264"/>
        <w:ind w:left="720" w:hanging="360"/>
      </w:pPr>
      <w:r>
        <w:rPr>
          <w:sz w:val="22"/>
          <w:szCs w:val="22"/>
        </w:rPr>
        <w:t xml:space="preserve">Students will use a data table to identify when the wastewater signal rose ahead of clinic visits and why rain lowered it.</w:t>
      </w:r>
    </w:p>
    <w:p>
      <w:pPr>
        <w:pStyle w:val="ListParagraph"/>
        <w:keepLines/>
        <w:numPr>
          <w:ilvl w:val="0"/>
          <w:numId w:val="2"/>
        </w:numPr>
        <w:spacing w:after="60" w:line="264"/>
        <w:ind w:left="720" w:hanging="360"/>
      </w:pPr>
      <w:r>
        <w:rPr>
          <w:sz w:val="22"/>
          <w:szCs w:val="22"/>
        </w:rPr>
        <w:t xml:space="preserve">Students will evaluate what wastewater data can and cannot show, including limits on case counts and individual privacy.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Questions 4 and 5 require students to integrate the passage's explanation of sampling with the weekly signal and clinic visit table to judge when the signal gave early warning and why it dipped.</w:t>
      </w:r>
    </w:p>
    <w:p>
      <w:pPr>
        <w:keepNext/>
        <w:spacing w:after="40" w:line="264"/>
      </w:pPr>
      <w:r>
        <w:rPr>
          <w:b/>
          <w:bCs/>
          <w:sz w:val="22"/>
          <w:szCs w:val="22"/>
        </w:rPr>
        <w:t xml:space="preserve">HSS-IC.B.6 (Common Core Math)</w:t>
      </w:r>
      <w:r>
        <w:rPr>
          <w:sz w:val="22"/>
          <w:szCs w:val="22"/>
        </w:rPr>
        <w:t xml:space="preserve">: Evaluate reports based on data.</w:t>
      </w:r>
    </w:p>
    <w:p>
      <w:pPr>
        <w:spacing w:after="100" w:line="264"/>
        <w:ind w:left="360"/>
      </w:pPr>
      <w:r>
        <w:rPr>
          <w:i/>
          <w:iCs/>
          <w:color w:val="5B6B70"/>
          <w:sz w:val="20"/>
          <w:szCs w:val="20"/>
        </w:rPr>
        <w:t xml:space="preserve">How this material addresses it: Question 6 asks students to evaluate a fictional headline that turns the signal index into a claim about how many people were sick, using what the passage says the data can and cannot show.</w:t>
      </w:r>
    </w:p>
    <w:p>
      <w:pPr>
        <w:pStyle w:val="Heading2"/>
        <w:keepNext/>
        <w:keepLines/>
      </w:pPr>
      <w:r>
        <w:rPr>
          <w:sz w:val="28"/>
          <w:szCs w:val="28"/>
        </w:rPr>
        <w:t xml:space="preserve">Vocabulary</w:t>
      </w:r>
    </w:p>
    <w:p>
      <w:pPr>
        <w:keepNext/>
        <w:spacing w:after="80" w:line="264"/>
      </w:pPr>
      <w:r>
        <w:rPr>
          <w:b/>
          <w:bCs/>
          <w:sz w:val="22"/>
          <w:szCs w:val="22"/>
        </w:rPr>
        <w:t xml:space="preserve">Influent</w:t>
      </w:r>
      <w:r>
        <w:rPr>
          <w:sz w:val="22"/>
          <w:szCs w:val="22"/>
        </w:rPr>
        <w:t xml:space="preserve">: Influent is the incoming dirty water that arrives at a treatment plant, ready to be cleaned. Operators test it to see how much work the plant has to do.</w:t>
      </w:r>
    </w:p>
    <w:p>
      <w:pPr>
        <w:spacing w:after="100" w:line="264"/>
      </w:pPr>
      <w:r>
        <w:rPr>
          <w:b/>
          <w:bCs/>
          <w:sz w:val="22"/>
          <w:szCs w:val="22"/>
        </w:rPr>
        <w:t xml:space="preserve">Also: </w:t>
      </w:r>
      <w:r>
        <w:rPr>
          <w:sz w:val="22"/>
          <w:szCs w:val="22"/>
        </w:rPr>
        <w:t xml:space="preserve">wastewater surveillance, composite sample, shedding, genetic material, sewershed, dilution, early warning</w:t>
      </w:r>
    </w:p>
    <w:p>
      <w:pPr>
        <w:pStyle w:val="Heading2"/>
        <w:keepNext/>
        <w:keepLines/>
      </w:pPr>
      <w:r>
        <w:rPr>
          <w:sz w:val="28"/>
          <w:szCs w:val="28"/>
        </w:rPr>
        <w:t xml:space="preserve">Teacher overview</w:t>
      </w:r>
    </w:p>
    <w:p>
      <w:pPr>
        <w:spacing w:after="100" w:line="264"/>
      </w:pPr>
      <w:r>
        <w:rPr>
          <w:sz w:val="22"/>
          <w:szCs w:val="22"/>
        </w:rPr>
        <w:t xml:space="preserve">This informational passage explains wastewater surveillance, the public health practice of testing sewage arriving at a treatment plant for traces of viruses that show how much illness is spreading in a community. It follows a fictional town, Hensford, through a winter wave of norovirus, the most common cause of "stomach flu" in the United States, and includes a short data table that students must read alongside the text. A teacher might assign it in a unit on communicable disease, on public health systems, or on the work of wastewater operators, whose daily samples make the method possible.</w:t>
      </w:r>
    </w:p>
    <w:p>
      <w:pPr>
        <w:spacing w:after="100" w:line="264"/>
      </w:pPr>
      <w:r>
        <w:rPr>
          <w:sz w:val="22"/>
          <w:szCs w:val="22"/>
        </w:rPr>
        <w:t xml:space="preserve">The misconception to address is that sewage testing identifies sick individuals or counts exact cases. The method measures a community-wide trend from the mixed flow of thousands of households, so its strength is early warning and its limits are precision and, in small buildings, privacy. The questions also check a practical health point that students often get wrong: alcohol hand sanitizer is a weak defense against norovirus, and washing with soap and water is the recommended step.</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Before reading, show a simple flow diagram: homes, sewer pipes, plant inlet, composite sampler, lab, health department. Have students read the passage in two halves, stopping after the paragraph on the main advantage to summarize in one sentence. For questions 4 and 5, give students a copy of the table with the rain column highlighted.</w:t>
      </w:r>
    </w:p>
    <w:p>
      <w:pPr>
        <w:pStyle w:val="Heading3"/>
        <w:keepNext/>
        <w:keepLines/>
      </w:pPr>
      <w:r>
        <w:rPr>
          <w:sz w:val="24"/>
          <w:szCs w:val="24"/>
        </w:rPr>
        <w:t xml:space="preserve">Extension</w:t>
      </w:r>
    </w:p>
    <w:p>
      <w:pPr>
        <w:spacing w:after="100" w:line="264"/>
      </w:pPr>
      <w:r>
        <w:rPr>
          <w:sz w:val="22"/>
          <w:szCs w:val="22"/>
        </w:rPr>
        <w:t xml:space="preserve">Ask students to write a one-paragraph proposal for whether their own school district should sample wastewater from individual school buildings. The paragraph should weigh the early-warning benefit against the privacy concern described in the passage and name one rule the district would need to adopt.</w:t>
      </w:r>
    </w:p>
    <w:p>
      <w:pPr>
        <w:pStyle w:val="Heading3"/>
        <w:keepNext/>
        <w:keepLines/>
      </w:pPr>
      <w:r>
        <w:rPr>
          <w:sz w:val="24"/>
          <w:szCs w:val="24"/>
        </w:rPr>
        <w:t xml:space="preserve">ELL supports</w:t>
      </w:r>
    </w:p>
    <w:p>
      <w:pPr>
        <w:spacing w:after="100" w:line="264"/>
      </w:pPr>
      <w:r>
        <w:rPr>
          <w:sz w:val="22"/>
          <w:szCs w:val="22"/>
        </w:rPr>
        <w:t xml:space="preserve">Pre-teach "sewage," "sample," "shed," "signal," "dilute," and "privacy" with short definitions and an icon for each. Provide sentence frames such as "The signal dropped in week 4 because ___." and "The headline is wrong because the index measures ___, not ___." Allow students to answer the literal questions, 1 through 4, with short phrases.</w:t>
      </w:r>
    </w:p>
    <w:p>
      <w:pPr>
        <w:pStyle w:val="Heading2"/>
        <w:keepNext/>
        <w:keepLines/>
      </w:pPr>
      <w:r>
        <w:rPr>
          <w:sz w:val="28"/>
          <w:szCs w:val="28"/>
        </w:rPr>
        <w:t xml:space="preserve">Extensions</w:t>
      </w:r>
    </w:p>
    <w:p>
      <w:pPr>
        <w:spacing w:after="100" w:line="264"/>
      </w:pPr>
      <w:r>
        <w:rPr>
          <w:sz w:val="22"/>
          <w:szCs w:val="22"/>
        </w:rPr>
        <w:t xml:space="preserve">Have students find whether their state or county health department posts wastewater surveillance results online, and if it does, describe the trend for one virus over the past month. Students should write two sentences on how a resident could use that trend to make one health decision for their household.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Reading the Sewer: How Hensford Tracks Illness Through Wastewater</w:t>
      </w:r>
    </w:p>
    <w:p>
      <w:pPr>
        <w:keepNext/>
        <w:spacing w:after="160"/>
      </w:pPr>
      <w:r>
        <w:rPr>
          <w:color w:val="5B6B70"/>
          <w:sz w:val="20"/>
          <w:szCs w:val="20"/>
        </w:rPr>
        <w:t xml:space="preserve">Grade 12 · Health &amp; Consumer Science</w:t>
      </w:r>
    </w:p>
    <w:p>
      <w:pPr>
        <w:pStyle w:val="Heading2"/>
        <w:keepNext/>
        <w:keepLines/>
      </w:pPr>
      <w:r>
        <w:rPr>
          <w:sz w:val="28"/>
          <w:szCs w:val="28"/>
        </w:rPr>
        <w:t xml:space="preserve">Passage</w:t>
      </w:r>
    </w:p>
    <w:p>
      <w:pPr>
        <w:spacing w:after="120" w:line="276"/>
      </w:pPr>
      <w:r>
        <w:rPr>
          <w:sz w:val="22"/>
          <w:szCs w:val="22"/>
        </w:rPr>
        <w:t xml:space="preserve">Every morning at the Hensford Water Reclamation Plant, a fictional treatment plant serving a town of about 40,000 people, an operator opens a refrigerated cabinet at the head of the plant, where the raw wastewater, called influent, first arrives. Inside, an automatic sampler has spent the previous 24 hours drawing a small portion of influent every few minutes and adding it to a single container. Because this composite sample blends portions from the entire day, it represents everything that flowed into the plant over that period rather than whatever happened to pass the intake at one moment. The operator fills a bottle from it, labels it with the date and time, and packs it on ice for delivery to a public health laboratory.</w:t>
      </w:r>
    </w:p>
    <w:p>
      <w:pPr>
        <w:spacing w:after="120" w:line="276"/>
      </w:pPr>
      <w:r>
        <w:rPr>
          <w:sz w:val="22"/>
          <w:szCs w:val="22"/>
        </w:rPr>
        <w:t xml:space="preserve">The material the laboratory looks for comes from the people who live in the area the plant serves. When someone is infected with certain viruses, including those that cause COVID-19, influenza, and norovirus, the body sheds genetic material from the virus, much of it in feces. Shedding can begin before a person feels ill, and it also occurs in many people whose symptoms are too mild to send them to a doctor. Every time residents use a toilet at home, at school, or at work, that material enters the sewer. All of the pipes that drain to a single plant make up its sewershed, so a composite sample taken at the plant's inlet reflects, in blended form, nearly everyone who lives or works within it.</w:t>
      </w:r>
    </w:p>
    <w:p>
      <w:pPr>
        <w:spacing w:after="120" w:line="276"/>
      </w:pPr>
      <w:r>
        <w:rPr>
          <w:sz w:val="22"/>
          <w:szCs w:val="22"/>
        </w:rPr>
        <w:t xml:space="preserve">In the laboratory, technicians use a technique called polymerase chain reaction, which copies a specific stretch of a virus's genetic code many times until it can be measured. The result is an estimate of how much of that virus's genetic material was present in the sample, not a count of infected people. Public health staff therefore pay less attention to any single result than to how the results change from week to week. During the COVID-19 pandemic, the Centers for Disease Control and Prevention built a national program to collect these results from communities across the country, and many local health departments now use the same approach to follow other viruses.</w:t>
      </w:r>
    </w:p>
    <w:p>
      <w:pPr>
        <w:spacing w:after="120" w:line="276"/>
      </w:pPr>
      <w:r>
        <w:rPr>
          <w:sz w:val="22"/>
          <w:szCs w:val="22"/>
        </w:rPr>
        <w:t xml:space="preserve">The chief advantage of the method is timing. A person with a stomach illness often waits several days to see whether it passes, many people never visit a clinic at all, and those who do are not always tested. Even when a clinic confirms a case, the report takes time to reach the health department. Wastewater sampling depends on none of those steps, so when shedding increases across a town, the wastewater signal can rise days or even weeks before clinics record a jump in visits.</w:t>
      </w:r>
    </w:p>
    <w:p>
      <w:pPr>
        <w:spacing w:after="120" w:line="276"/>
      </w:pPr>
      <w:r>
        <w:rPr>
          <w:sz w:val="22"/>
          <w:szCs w:val="22"/>
        </w:rPr>
        <w:t xml:space="preserve">Hensford's health department observed this pattern during a recent winter. The table below uses fictional numbers. The signal index compares each week's norovirus measurement with the level at the start of winter, which is set at 1.0, so a value of 3.0 means the laboratory found three times as much norovirus genetic material as it did at the start. The last column lists visits to local clinics for vomiting or diarrhea.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840"/>
        <w:gridCol w:w="4200"/>
        <w:gridCol w:w="2520"/>
        <w:gridCol w:w="2520"/>
      </w:tblGrid>
      <w:tr>
        <w:trPr>
          <w:cantSplit/>
          <w:tblHeader/>
        </w:trPr>
        <w:tc>
          <w:tcPr>
            <w:tcW w:type="dxa" w:w="8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Week</w:t>
            </w:r>
          </w:p>
        </w:tc>
        <w:tc>
          <w:tcPr>
            <w:tcW w:type="dxa" w:w="42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Rain during sampling</w:t>
            </w:r>
          </w:p>
        </w:tc>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Norovirus signal index</w:t>
            </w:r>
          </w:p>
        </w:tc>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Clinic visits for vomiting or diarrhea</w:t>
            </w:r>
          </w:p>
        </w:tc>
      </w:tr>
      <w:tr>
        <w:trPr>
          <w:cantSplit/>
        </w:trPr>
        <w:tc>
          <w:tcPr>
            <w:tcW w:type="dxa" w:w="840"/>
            <w:tcMar>
              <w:top w:type="dxa" w:w="70"/>
              <w:left w:type="dxa" w:w="100"/>
              <w:bottom w:type="dxa" w:w="70"/>
              <w:right w:type="dxa" w:w="100"/>
            </w:tcMar>
            <w:vAlign w:val="top"/>
          </w:tcPr>
          <w:p>
            <w:pPr>
              <w:keepNext/>
              <w:spacing w:after="0" w:line="252"/>
              <w:jc w:val="left"/>
            </w:pPr>
            <w:r>
              <w:rPr>
                <w:sz w:val="22"/>
                <w:szCs w:val="22"/>
              </w:rPr>
              <w:t xml:space="preserve">1</w:t>
            </w:r>
          </w:p>
        </w:tc>
        <w:tc>
          <w:tcPr>
            <w:tcW w:type="dxa" w:w="4200"/>
            <w:tcMar>
              <w:top w:type="dxa" w:w="70"/>
              <w:left w:type="dxa" w:w="100"/>
              <w:bottom w:type="dxa" w:w="70"/>
              <w:right w:type="dxa" w:w="100"/>
            </w:tcMar>
            <w:vAlign w:val="top"/>
          </w:tcPr>
          <w:p>
            <w:pPr>
              <w:keepNext/>
              <w:spacing w:after="0" w:line="252"/>
              <w:jc w:val="left"/>
            </w:pPr>
            <w:r>
              <w:rPr>
                <w:sz w:val="22"/>
                <w:szCs w:val="22"/>
              </w:rPr>
              <w:t xml:space="preserve">Dry</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22</w:t>
            </w:r>
          </w:p>
        </w:tc>
      </w:tr>
      <w:tr>
        <w:trPr>
          <w:cantSplit/>
        </w:trPr>
        <w:tc>
          <w:tcPr>
            <w:tcW w:type="dxa" w:w="84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4200"/>
            <w:tcMar>
              <w:top w:type="dxa" w:w="70"/>
              <w:left w:type="dxa" w:w="100"/>
              <w:bottom w:type="dxa" w:w="70"/>
              <w:right w:type="dxa" w:w="100"/>
            </w:tcMar>
            <w:vAlign w:val="top"/>
          </w:tcPr>
          <w:p>
            <w:pPr>
              <w:keepNext/>
              <w:spacing w:after="0" w:line="252"/>
              <w:jc w:val="left"/>
            </w:pPr>
            <w:r>
              <w:rPr>
                <w:sz w:val="22"/>
                <w:szCs w:val="22"/>
              </w:rPr>
              <w:t xml:space="preserve">Dry</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2.6</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24</w:t>
            </w:r>
          </w:p>
        </w:tc>
      </w:tr>
      <w:tr>
        <w:trPr>
          <w:cantSplit/>
        </w:trPr>
        <w:tc>
          <w:tcPr>
            <w:tcW w:type="dxa" w:w="840"/>
            <w:tcMar>
              <w:top w:type="dxa" w:w="70"/>
              <w:left w:type="dxa" w:w="100"/>
              <w:bottom w:type="dxa" w:w="70"/>
              <w:right w:type="dxa" w:w="100"/>
            </w:tcMar>
            <w:vAlign w:val="top"/>
          </w:tcPr>
          <w:p>
            <w:pPr>
              <w:keepNext/>
              <w:spacing w:after="0" w:line="252"/>
              <w:jc w:val="left"/>
            </w:pPr>
            <w:r>
              <w:rPr>
                <w:sz w:val="22"/>
                <w:szCs w:val="22"/>
              </w:rPr>
              <w:t xml:space="preserve">3</w:t>
            </w:r>
          </w:p>
        </w:tc>
        <w:tc>
          <w:tcPr>
            <w:tcW w:type="dxa" w:w="4200"/>
            <w:tcMar>
              <w:top w:type="dxa" w:w="70"/>
              <w:left w:type="dxa" w:w="100"/>
              <w:bottom w:type="dxa" w:w="70"/>
              <w:right w:type="dxa" w:w="100"/>
            </w:tcMar>
            <w:vAlign w:val="top"/>
          </w:tcPr>
          <w:p>
            <w:pPr>
              <w:keepNext/>
              <w:spacing w:after="0" w:line="252"/>
              <w:jc w:val="left"/>
            </w:pPr>
            <w:r>
              <w:rPr>
                <w:sz w:val="22"/>
                <w:szCs w:val="22"/>
              </w:rPr>
              <w:t xml:space="preserve">Dry</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5.8</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31</w:t>
            </w:r>
          </w:p>
        </w:tc>
      </w:tr>
      <w:tr>
        <w:trPr>
          <w:cantSplit/>
        </w:trPr>
        <w:tc>
          <w:tcPr>
            <w:tcW w:type="dxa" w:w="840"/>
            <w:tcMar>
              <w:top w:type="dxa" w:w="70"/>
              <w:left w:type="dxa" w:w="100"/>
              <w:bottom w:type="dxa" w:w="70"/>
              <w:right w:type="dxa" w:w="100"/>
            </w:tcMar>
            <w:vAlign w:val="top"/>
          </w:tcPr>
          <w:p>
            <w:pPr>
              <w:keepNext/>
              <w:spacing w:after="0" w:line="252"/>
              <w:jc w:val="left"/>
            </w:pPr>
            <w:r>
              <w:rPr>
                <w:sz w:val="22"/>
                <w:szCs w:val="22"/>
              </w:rPr>
              <w:t xml:space="preserve">4</w:t>
            </w:r>
          </w:p>
        </w:tc>
        <w:tc>
          <w:tcPr>
            <w:tcW w:type="dxa" w:w="4200"/>
            <w:tcMar>
              <w:top w:type="dxa" w:w="70"/>
              <w:left w:type="dxa" w:w="100"/>
              <w:bottom w:type="dxa" w:w="70"/>
              <w:right w:type="dxa" w:w="100"/>
            </w:tcMar>
            <w:vAlign w:val="top"/>
          </w:tcPr>
          <w:p>
            <w:pPr>
              <w:keepNext/>
              <w:spacing w:after="0" w:line="252"/>
              <w:jc w:val="left"/>
            </w:pPr>
            <w:r>
              <w:rPr>
                <w:sz w:val="22"/>
                <w:szCs w:val="22"/>
              </w:rPr>
              <w:t xml:space="preserve">Heavy rain</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3.1</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68</w:t>
            </w:r>
          </w:p>
        </w:tc>
      </w:tr>
      <w:tr>
        <w:trPr>
          <w:cantSplit/>
        </w:trPr>
        <w:tc>
          <w:tcPr>
            <w:tcW w:type="dxa" w:w="840"/>
            <w:tcMar>
              <w:top w:type="dxa" w:w="70"/>
              <w:left w:type="dxa" w:w="100"/>
              <w:bottom w:type="dxa" w:w="70"/>
              <w:right w:type="dxa" w:w="100"/>
            </w:tcMar>
            <w:vAlign w:val="top"/>
          </w:tcPr>
          <w:p>
            <w:pPr>
              <w:keepNext/>
              <w:spacing w:after="0" w:line="252"/>
              <w:jc w:val="left"/>
            </w:pPr>
            <w:r>
              <w:rPr>
                <w:sz w:val="22"/>
                <w:szCs w:val="22"/>
              </w:rPr>
              <w:t xml:space="preserve">5</w:t>
            </w:r>
          </w:p>
        </w:tc>
        <w:tc>
          <w:tcPr>
            <w:tcW w:type="dxa" w:w="4200"/>
            <w:tcMar>
              <w:top w:type="dxa" w:w="70"/>
              <w:left w:type="dxa" w:w="100"/>
              <w:bottom w:type="dxa" w:w="70"/>
              <w:right w:type="dxa" w:w="100"/>
            </w:tcMar>
            <w:vAlign w:val="top"/>
          </w:tcPr>
          <w:p>
            <w:pPr>
              <w:keepNext/>
              <w:spacing w:after="0" w:line="252"/>
              <w:jc w:val="left"/>
            </w:pPr>
            <w:r>
              <w:rPr>
                <w:sz w:val="22"/>
                <w:szCs w:val="22"/>
              </w:rPr>
              <w:t xml:space="preserve">Dry</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6.4</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85</w:t>
            </w:r>
          </w:p>
        </w:tc>
      </w:tr>
      <w:tr>
        <w:trPr>
          <w:cantSplit/>
        </w:trPr>
        <w:tc>
          <w:tcPr>
            <w:tcW w:type="dxa" w:w="840"/>
            <w:tcMar>
              <w:top w:type="dxa" w:w="70"/>
              <w:left w:type="dxa" w:w="100"/>
              <w:bottom w:type="dxa" w:w="70"/>
              <w:right w:type="dxa" w:w="100"/>
            </w:tcMar>
            <w:vAlign w:val="top"/>
          </w:tcPr>
          <w:p>
            <w:pPr>
              <w:spacing w:after="0" w:line="252"/>
              <w:jc w:val="left"/>
            </w:pPr>
            <w:r>
              <w:rPr>
                <w:sz w:val="22"/>
                <w:szCs w:val="22"/>
              </w:rPr>
              <w:t xml:space="preserve">6</w:t>
            </w:r>
          </w:p>
        </w:tc>
        <w:tc>
          <w:tcPr>
            <w:tcW w:type="dxa" w:w="4200"/>
            <w:tcMar>
              <w:top w:type="dxa" w:w="70"/>
              <w:left w:type="dxa" w:w="100"/>
              <w:bottom w:type="dxa" w:w="70"/>
              <w:right w:type="dxa" w:w="100"/>
            </w:tcMar>
            <w:vAlign w:val="top"/>
          </w:tcPr>
          <w:p>
            <w:pPr>
              <w:spacing w:after="0" w:line="252"/>
              <w:jc w:val="left"/>
            </w:pPr>
            <w:r>
              <w:rPr>
                <w:sz w:val="22"/>
                <w:szCs w:val="22"/>
              </w:rPr>
              <w:t xml:space="preserve">Dry</w:t>
            </w:r>
          </w:p>
        </w:tc>
        <w:tc>
          <w:tcPr>
            <w:tcW w:type="dxa" w:w="2520"/>
            <w:tcMar>
              <w:top w:type="dxa" w:w="70"/>
              <w:left w:type="dxa" w:w="100"/>
              <w:bottom w:type="dxa" w:w="70"/>
              <w:right w:type="dxa" w:w="100"/>
            </w:tcMar>
            <w:vAlign w:val="top"/>
          </w:tcPr>
          <w:p>
            <w:pPr>
              <w:spacing w:after="0" w:line="252"/>
              <w:jc w:val="left"/>
            </w:pPr>
            <w:r>
              <w:rPr>
                <w:sz w:val="22"/>
                <w:szCs w:val="22"/>
              </w:rPr>
              <w:t xml:space="preserve">2.2</w:t>
            </w:r>
          </w:p>
        </w:tc>
        <w:tc>
          <w:tcPr>
            <w:tcW w:type="dxa" w:w="2520"/>
            <w:tcMar>
              <w:top w:type="dxa" w:w="70"/>
              <w:left w:type="dxa" w:w="100"/>
              <w:bottom w:type="dxa" w:w="70"/>
              <w:right w:type="dxa" w:w="100"/>
            </w:tcMar>
            <w:vAlign w:val="top"/>
          </w:tcPr>
          <w:p>
            <w:pPr>
              <w:spacing w:after="0" w:line="252"/>
              <w:jc w:val="left"/>
            </w:pPr>
            <w:r>
              <w:rPr>
                <w:sz w:val="22"/>
                <w:szCs w:val="22"/>
              </w:rPr>
              <w:t xml:space="preserve">40</w:t>
            </w:r>
          </w:p>
        </w:tc>
      </w:tr>
    </w:tbl>
    <w:p>
      <w:pPr>
        <w:spacing w:after="160" w:before="0"/>
      </w:pPr>
    </w:p>
    <w:p>
      <w:pPr>
        <w:spacing w:after="120" w:line="276"/>
      </w:pPr>
      <w:r>
        <w:rPr>
          <w:sz w:val="22"/>
          <w:szCs w:val="22"/>
        </w:rPr>
        <w:t xml:space="preserve">When the index rose sharply in week 2, the health department acted before the clinics had seen much change. It sent alerts to schools, child care centers, and nursing homes, settings where norovirus spreads quickly and where older adults face a higher risk of dangerous dehydration. The alerts listed the steps that work against this particular virus: washing hands with soap and warm water, especially after using the bathroom and before eating or preparing food; not relying on alcohol hand sanitizer alone, because it works poorly against norovirus; cleaning surfaces with a bleach-based cleaner; and staying home while sick and for a period after symptoms end, without preparing food for others during that time.</w:t>
      </w:r>
    </w:p>
    <w:p>
      <w:pPr>
        <w:spacing w:after="120" w:line="276"/>
      </w:pPr>
      <w:r>
        <w:rPr>
          <w:sz w:val="22"/>
          <w:szCs w:val="22"/>
        </w:rPr>
        <w:t xml:space="preserve">Wastewater data have real limitations, and the specialists who interpret them are careful about what they claim. Rain is the first. Hensford, like many older towns, has sections of sewer that also carry stormwater, so a heavy rain pours clean water into the system and dilutes the sample. The signal can therefore fall even while illness is rising. Laboratories try to correct for dilution by also recording the plant's flow or by measuring a marker that tracks how much human waste the sample contains, such as a plant virus that people swallow in food and pass in fairly steady amounts. A second limitation is that shedding varies widely from one person to another and over the course of an illness. For that reason, a signal twice as high does not mean exactly twice as many sick people. Wastewater data describe the direction and speed of a trend, and they cannot supply a case count.</w:t>
      </w:r>
    </w:p>
    <w:p>
      <w:pPr>
        <w:spacing w:after="120" w:line="276"/>
      </w:pPr>
      <w:r>
        <w:rPr>
          <w:sz w:val="22"/>
          <w:szCs w:val="22"/>
        </w:rPr>
        <w:t xml:space="preserve">Privacy is the third concern. A sample from an entire town blends waste from tens of thousands of people, so no result can be traced to a single household. The situation changes when samples are taken from one building, such as a dormitory or a nursing home. A small sewershed can give its residents a useful early warning, yet a positive result may also point toward a small, identifiable group. Programs that sample individual buildings therefore set rules about who may see the results and how they may be used.</w:t>
      </w:r>
    </w:p>
    <w:p>
      <w:pPr>
        <w:spacing w:after="120" w:line="276"/>
      </w:pPr>
      <w:r>
        <w:rPr>
          <w:sz w:val="22"/>
          <w:szCs w:val="22"/>
        </w:rPr>
        <w:t xml:space="preserve">For most residents, the practical meaning is straightforward. A health department report that a virus is rising in the wastewater is a reason to take ordinary precautions more seriously: washing hands thoroughly, staying home when sick, checking on older relatives, and, for viruses that have a vaccine, such as influenza and COVID-19, considering vaccination.</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Why does the Hensford plant use a composite sample instead of filling one bottle at a single moment?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do infected people shed that the lab measures in wastewater?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gives several reasons why clinic data lag behind the wastewater signal. Name two of them.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which week did the norovirus signal index first rise well above the start-of-winter level?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signal index fell in week 4 even though clinic visits more than doubled. Using the passage, explain what most likely caused the drop.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fictional local news headline reads: "Sewage Shows 5.8 Times More People Sick With Norovirus." Using the passage, evaluate whether the week 3 data support that headline.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alerts told people not to rely on hand sanitizer alone. What did the passage recommend instead,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privacy becomes a bigger concern when samples come from a single building rather than a whole town.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Reading the Sewer: How Hensford Tracks Illness Through Wastewater</w:t>
      </w:r>
    </w:p>
    <w:p>
      <w:pPr>
        <w:keepNext/>
        <w:spacing w:after="160"/>
      </w:pPr>
      <w:r>
        <w:rPr>
          <w:color w:val="5B6B70"/>
          <w:sz w:val="20"/>
          <w:szCs w:val="20"/>
        </w:rPr>
        <w:t xml:space="preserve">Reading passage · Grade 12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composite sample blends small portions taken every few minutes over 24 hours, so it represents what flowed in over a whole day rather than one moment.</w:t>
      </w:r>
      <w:r>
        <w:rPr>
          <w:sz w:val="22"/>
          <w:szCs w:val="22"/>
        </w:rPr>
        <w:br/>
      </w:r>
      <w:r>
        <w:rPr>
          <w:sz w:val="22"/>
          <w:szCs w:val="22"/>
        </w:rPr>
        <w:t xml:space="preserve">The first paragraph describes the sampler and explains that the blend represents a full day of incoming wastewater.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Genetic material from the virus, which leaves the body mostly in feces.</w:t>
      </w:r>
      <w:r>
        <w:rPr>
          <w:sz w:val="22"/>
          <w:szCs w:val="22"/>
        </w:rPr>
        <w:br/>
      </w:r>
      <w:r>
        <w:rPr>
          <w:sz w:val="22"/>
          <w:szCs w:val="22"/>
        </w:rPr>
        <w:t xml:space="preserve">The second paragraph explains that infected people shed viral genetic material, often before they feel sick and even if they never do.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these: sick people often wait a few days before seeing a doctor, many never visit a clinic, those who visit may not be tested, and clinic reports take time to reach the health department.</w:t>
      </w:r>
      <w:r>
        <w:rPr>
          <w:sz w:val="22"/>
          <w:szCs w:val="22"/>
        </w:rPr>
        <w:br/>
      </w:r>
      <w:r>
        <w:rPr>
          <w:sz w:val="22"/>
          <w:szCs w:val="22"/>
        </w:rPr>
        <w:t xml:space="preserve">These reasons appear in the paragraph on the method's chief advantage, timing.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Week 2.</w:t>
      </w:r>
      <w:r>
        <w:rPr>
          <w:sz w:val="22"/>
          <w:szCs w:val="22"/>
        </w:rPr>
        <w:br/>
      </w:r>
      <w:r>
        <w:rPr>
          <w:sz w:val="22"/>
          <w:szCs w:val="22"/>
        </w:rPr>
        <w:t xml:space="preserve">The index went from 1.0 in week 1 to 2.6 in week 2, while clinic visits barely changed. Clinic visits did not climb sharply until week 4, which shows the early warning the passage describes.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Heavy rain during week 4 sampling diluted the wastewater, lowering the signal even though illness was still rising.</w:t>
      </w:r>
      <w:r>
        <w:rPr>
          <w:sz w:val="22"/>
          <w:szCs w:val="22"/>
        </w:rPr>
        <w:br/>
      </w:r>
      <w:r>
        <w:rPr>
          <w:sz w:val="22"/>
          <w:szCs w:val="22"/>
        </w:rPr>
        <w:t xml:space="preserve">The passage explains that some sections of Hensford's sewer also carry stormwater, and the table marks week 4 as the only week with heavy rain. The rise to 6.4 in dry week 5 supports this reading.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headline is not supported, because the index measures the amount of viral genetic material in the sample, not the number of sick people.</w:t>
      </w:r>
      <w:r>
        <w:rPr>
          <w:sz w:val="22"/>
          <w:szCs w:val="22"/>
        </w:rPr>
        <w:br/>
      </w:r>
      <w:r>
        <w:rPr>
          <w:sz w:val="22"/>
          <w:szCs w:val="22"/>
        </w:rPr>
        <w:t xml:space="preserve">The passage states that people shed very different amounts and that wastewater data show a trend, not a case count. A fair headline would say that norovirus levels in the town's wastewater had risen sharply.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Wash hands with soap and warm water, because alcohol hand sanitizer works poorly against norovirus.</w:t>
      </w:r>
      <w:r>
        <w:rPr>
          <w:sz w:val="22"/>
          <w:szCs w:val="22"/>
        </w:rPr>
        <w:br/>
      </w:r>
      <w:r>
        <w:rPr>
          <w:sz w:val="22"/>
          <w:szCs w:val="22"/>
        </w:rPr>
        <w:t xml:space="preserve">Accept answers that also mention the other steps in the alert, such as cleaning with a bleach-based cleaner, as long as handwashing with soap is named.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single building has far fewer people, so a result could point to a small, identifiable group rather than being hidden among an entire town.</w:t>
      </w:r>
      <w:r>
        <w:rPr>
          <w:sz w:val="22"/>
          <w:szCs w:val="22"/>
        </w:rPr>
        <w:br/>
      </w:r>
      <w:r>
        <w:rPr>
          <w:sz w:val="22"/>
          <w:szCs w:val="22"/>
        </w:rPr>
        <w:t xml:space="preserve">The passage contrasts a town-wide sample, which mixes waste from tens of thousands of people, with a dormitory or nursing home, and notes that building programs set rules about who sees the results.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the Sewer: How Hensford Tracks Illness Through Wastewater</dc:title>
  <dc:subject>Reading passage · Grade 12 · Health &amp; Consumer Science</dc:subject>
  <dc:creator>Water for Schools</dc:creator>
  <cp:keywords>Reading passage, Grade 12, Health &amp; Consumer Science</cp:keywords>
  <dc:description>A grade 12 health passage on wastewater surveillance in a fictional town, with a data table and questions on early warning, rain dilution, privacy, and handwashing.</dc:description>
  <cp:lastModifiedBy>Water for Schools</cp:lastModifiedBy>
  <cp:revision>1</cp:revision>
  <dcterms:created xsi:type="dcterms:W3CDTF">2026-10-19T16:29:06.533Z</dcterms:created>
  <dcterms:modified xsi:type="dcterms:W3CDTF">2026-10-19T16:29:06.533Z</dcterms:modified>
</cp:coreProperties>
</file>

<file path=docProps/custom.xml><?xml version="1.0" encoding="utf-8"?>
<Properties xmlns="http://schemas.openxmlformats.org/officeDocument/2006/custom-properties" xmlns:vt="http://schemas.openxmlformats.org/officeDocument/2006/docPropsVTypes"/>
</file>