
<file path=[Content_Types].xml><?xml version="1.0" encoding="utf-8"?>
<Types xmlns="http://schemas.openxmlformats.org/package/2006/content-types">
  <Default ContentType="image/png" Extension="png"/>
  <Default ContentType="image/jpeg" Extension="jpeg"/>
  <Default ContentType="image/jpeg" Extension="jpg"/>
  <Default ContentType="image/bmp" Extension="bmp"/>
  <Default ContentType="image/gif" Extension="gif"/>
  <Default ContentType="image/svg+xml" Extension="svg"/>
  <Default ContentType="application/vnd.openxmlformats-package.relationships+xml" Extension="rels"/>
  <Default ContentType="application/xml" Extension="xml"/>
  <Default ContentType="application/vnd.openxmlformats-officedocument.obfuscatedFont" Extension="odttf"/>
  <Override ContentType="application/vnd.openxmlformats-officedocument.wordprocessingml.document.main+xml" PartName="/word/document.xml"/>
  <Override ContentType="application/vnd.openxmlformats-officedocument.wordprocessingml.styles+xml" PartName="/word/styles.xml"/>
  <Override ContentType="application/vnd.openxmlformats-package.core-properties+xml" PartName="/docProps/core.xml"/>
  <Override ContentType="application/vnd.openxmlformats-officedocument.custom-properties+xml" PartName="/docProps/custom.xml"/>
  <Override ContentType="application/vnd.openxmlformats-officedocument.extended-properties+xml" PartName="/docProps/app.xml"/>
  <Override ContentType="application/vnd.openxmlformats-officedocument.wordprocessingml.numbering+xml" PartName="/word/numbering.xml"/>
  <Override ContentType="application/vnd.openxmlformats-officedocument.wordprocessingml.footnotes+xml" PartName="/word/footnotes.xml"/>
  <Override ContentType="application/vnd.openxmlformats-officedocument.wordprocessingml.endnotes+xml" PartName="/word/endnotes.xml"/>
  <Override ContentType="application/vnd.openxmlformats-officedocument.wordprocessingml.settings+xml" PartName="/word/settings.xml"/>
  <Override ContentType="application/vnd.openxmlformats-officedocument.wordprocessingml.fontTable+xml" PartName="/word/fontTable.xml"/>
  <Override ContentType="application/vnd.openxmlformats-officedocument.theme+xml" PartName="/word/theme/theme1.xml"/>
  <Override ContentType="application/vnd.openxmlformats-officedocument.wordprocessingml.footer+xml" PartName="/word/footer1.xml"/>
  <Override ContentType="application/vnd.openxmlformats-officedocument.wordprocessingml.footer+xml" PartName="/word/footer2.xml"/>
  <Override ContentType="application/vnd.openxmlformats-officedocument.wordprocessingml.footer+xml" PartName="/word/footer3.xml"/>
</Types>
</file>

<file path=_rels/.rels><?xml version="1.0" encoding="UTF-8"?><Relationships xmlns="http://schemas.openxmlformats.org/package/2006/relationships"><Relationship Id="rId1" Type="http://schemas.openxmlformats.org/officeDocument/2006/relationships/officeDocument" Target="word/document.xml"/><Relationship Id="rId2" Type="http://schemas.openxmlformats.org/package/2006/relationships/metadata/core-properties" Target="docProps/core.xml"/><Relationship Id="rId3" Type="http://schemas.openxmlformats.org/officeDocument/2006/relationships/extended-properties" Target="docProps/app.xml"/><Relationship Id="rId4" Type="http://schemas.openxmlformats.org/officeDocument/2006/relationships/custom-properties" Target="docProps/custom.xml"/></Relationships>
</file>

<file path=word/document.xml><?xml version="1.0" encoding="utf-8"?>
<w:document xmlns:wpc="http://schemas.microsoft.com/office/word/2010/wordprocessingCanvas" xmlns:mc="http://schemas.openxmlformats.org/markup-compatibility/2006" xmlns:o="urn:schemas-microsoft-com:office:office" xmlns:r="http://schemas.openxmlformats.org/officeDocument/2006/relationships" xmlns:m="http://schemas.openxmlformats.org/officeDocument/2006/math" xmlns:v="urn:schemas-microsoft-com:vml" xmlns:wp14="http://schemas.microsoft.com/office/word/2010/wordprocessingDrawing" xmlns:wp="http://schemas.openxmlformats.org/drawingml/2006/wordprocessingDrawing" xmlns:w10="urn:schemas-microsoft-com:office:word" xmlns:w="http://schemas.openxmlformats.org/wordprocessingml/2006/main" xmlns:w14="http://schemas.microsoft.com/office/word/2010/wordml" xmlns:w15="http://schemas.microsoft.com/office/word/2012/wordml" xmlns:wpg="http://schemas.microsoft.com/office/word/2010/wordprocessingGroup" xmlns:wpi="http://schemas.microsoft.com/office/word/2010/wordprocessingInk" xmlns:wne="http://schemas.microsoft.com/office/word/2006/wordml" xmlns:wps="http://schemas.microsoft.com/office/word/2010/wordprocessingShape" xmlns:cx="http://schemas.microsoft.com/office/drawing/2014/chartex" xmlns:cx1="http://schemas.microsoft.com/office/drawing/2015/9/8/chartex" xmlns:cx2="http://schemas.microsoft.com/office/drawing/2015/10/21/chartex" xmlns:cx3="http://schemas.microsoft.com/office/drawing/2016/5/9/chartex" xmlns:cx4="http://schemas.microsoft.com/office/drawing/2016/5/10/chartex" xmlns:cx5="http://schemas.microsoft.com/office/drawing/2016/5/11/chartex" xmlns:cx6="http://schemas.microsoft.com/office/drawing/2016/5/12/chartex" xmlns:cx7="http://schemas.microsoft.com/office/drawing/2016/5/13/chartex" xmlns:cx8="http://schemas.microsoft.com/office/drawing/2016/5/14/chartex" xmlns:aink="http://schemas.microsoft.com/office/drawing/2016/ink" xmlns:am3d="http://schemas.microsoft.com/office/drawing/2017/model3d" xmlns:w16cex="http://schemas.microsoft.com/office/word/2018/wordml/cex" xmlns:w16cid="http://schemas.microsoft.com/office/word/2016/wordml/cid" xmlns:w16="http://schemas.microsoft.com/office/word/2018/wordml" xmlns:w16sdtdh="http://schemas.microsoft.com/office/word/2020/wordml/sdtdatahash" xmlns:w16se="http://schemas.microsoft.com/office/word/2015/wordml/symex" mc:Ignorable="w14 w15 wp14">
  <w:body>
    <w:p>
      <w:pPr>
        <w:keepNext/>
        <w:pBdr>
          <w:top w:val="single" w:color="17606A" w:sz="24" w:space="2"/>
          <w:bottom w:val="single" w:color="17606A" w:sz="24" w:space="2"/>
        </w:pBdr>
        <w:shd w:fill="17606A" w:color="auto" w:val="clear"/>
        <w:spacing w:after="200" w:before="0"/>
        <w:ind w:left="0"/>
      </w:pPr>
      <w:r>
        <w:rPr>
          <w:b/>
          <w:bCs/>
          <w:color w:val="FFFFFF"/>
          <w:spacing w:val="30"/>
          <w:sz w:val="18"/>
          <w:szCs w:val="18"/>
        </w:rPr>
        <w:t xml:space="preserve">TEACHER PAGES</w:t>
      </w:r>
    </w:p>
    <w:p>
      <w:pPr>
        <w:pStyle w:val="Heading1"/>
        <w:keepNext/>
        <w:keepLines/>
      </w:pPr>
      <w:r>
        <w:rPr>
          <w:sz w:val="40"/>
          <w:szCs w:val="40"/>
        </w:rPr>
        <w:t xml:space="preserve">Skipjack Pond Dip Net Cards: A Grade 3 Line Plot Activity</w:t>
      </w:r>
    </w:p>
    <w:p>
      <w:pPr>
        <w:keepNext/>
        <w:spacing w:after="160"/>
      </w:pPr>
      <w:r>
        <w:rPr>
          <w:color w:val="5B6B70"/>
          <w:sz w:val="20"/>
          <w:szCs w:val="20"/>
        </w:rPr>
        <w:t xml:space="preserve">Classroom activity · Grade 3 · Math</w:t>
      </w:r>
    </w:p>
    <w:p>
      <w:pPr>
        <w:spacing w:after="100" w:line="264"/>
      </w:pPr>
      <w:r>
        <w:rPr>
          <w:i/>
          <w:iCs/>
          <w:color w:val="12333F"/>
          <w:sz w:val="22"/>
          <w:szCs w:val="22"/>
        </w:rPr>
        <w:t xml:space="preserve">A 40-minute grade 3 activity where groups measure twelve paper creature cards from a fictional pond survey to the nearest half inch and build a floor line plot.</w:t>
      </w:r>
    </w:p>
    <w:tbl>
      <w:tblPr>
        <w:tblW w:type="dxa" w:w="10080"/>
        <w:tblBorders>
          <w:top w:val="single" w:color="9AA7AB" w:sz="6"/>
          <w:left w:val="single" w:color="9AA7AB" w:sz="6"/>
          <w:bottom w:val="single" w:color="9AA7AB" w:sz="6"/>
          <w:right w:val="single" w:color="9AA7AB" w:sz="6"/>
          <w:insideH w:val="single" w:color="9AA7AB" w:sz="6"/>
          <w:insideV w:val="single" w:color="9AA7AB" w:sz="6"/>
        </w:tblBorders>
        <w:tblLayout w:type="fixed"/>
      </w:tblPr>
      <w:tblGrid>
        <w:gridCol w:w="1700"/>
        <w:gridCol w:w="8380"/>
      </w:tblGrid>
      <w:tr>
        <w:trPr>
          <w:cantSplit/>
        </w:trPr>
        <w:tc>
          <w:tcPr>
            <w:tcW w:type="dxa" w:w="1700"/>
            <w:shd w:fill="F1F5F5" w:color="auto" w:val="clear"/>
            <w:tcMar>
              <w:top w:type="dxa" w:w="60"/>
              <w:left w:type="dxa" w:w="100"/>
              <w:bottom w:type="dxa" w:w="60"/>
              <w:right w:type="dxa" w:w="100"/>
            </w:tcMar>
          </w:tcPr>
          <w:p>
            <w:pPr>
              <w:spacing w:after="0"/>
            </w:pPr>
            <w:r>
              <w:rPr>
                <w:b/>
                <w:bCs/>
                <w:color w:val="12333F"/>
                <w:sz w:val="20"/>
                <w:szCs w:val="20"/>
              </w:rPr>
              <w:t xml:space="preserve">Time</w:t>
            </w:r>
          </w:p>
        </w:tc>
        <w:tc>
          <w:tcPr>
            <w:tcW w:type="dxa" w:w="8380"/>
            <w:tcMar>
              <w:top w:type="dxa" w:w="60"/>
              <w:left w:type="dxa" w:w="100"/>
              <w:bottom w:type="dxa" w:w="60"/>
              <w:right w:type="dxa" w:w="100"/>
            </w:tcMar>
          </w:tcPr>
          <w:p>
            <w:pPr>
              <w:spacing w:after="0"/>
            </w:pPr>
            <w:r>
              <w:rPr>
                <w:sz w:val="20"/>
                <w:szCs w:val="20"/>
              </w:rPr>
              <w:t xml:space="preserve">40 minutes</w:t>
            </w:r>
          </w:p>
        </w:tc>
      </w:tr>
      <w:tr>
        <w:trPr>
          <w:cantSplit/>
        </w:trPr>
        <w:tc>
          <w:tcPr>
            <w:tcW w:type="dxa" w:w="1700"/>
            <w:shd w:fill="F1F5F5" w:color="auto" w:val="clear"/>
            <w:tcMar>
              <w:top w:type="dxa" w:w="60"/>
              <w:left w:type="dxa" w:w="100"/>
              <w:bottom w:type="dxa" w:w="60"/>
              <w:right w:type="dxa" w:w="100"/>
            </w:tcMar>
          </w:tcPr>
          <w:p>
            <w:pPr>
              <w:spacing w:after="0"/>
            </w:pPr>
            <w:r>
              <w:rPr>
                <w:b/>
                <w:bCs/>
                <w:color w:val="12333F"/>
                <w:sz w:val="20"/>
                <w:szCs w:val="20"/>
              </w:rPr>
              <w:t xml:space="preserve">Prep</w:t>
            </w:r>
          </w:p>
        </w:tc>
        <w:tc>
          <w:tcPr>
            <w:tcW w:type="dxa" w:w="8380"/>
            <w:tcMar>
              <w:top w:type="dxa" w:w="60"/>
              <w:left w:type="dxa" w:w="100"/>
              <w:bottom w:type="dxa" w:w="60"/>
              <w:right w:type="dxa" w:w="100"/>
            </w:tcMar>
          </w:tcPr>
          <w:p>
            <w:pPr>
              <w:spacing w:after="0"/>
            </w:pPr>
            <w:r>
              <w:rPr>
                <w:sz w:val="20"/>
                <w:szCs w:val="20"/>
              </w:rPr>
              <w:t xml:space="preserve">Moderate prep</w:t>
            </w:r>
          </w:p>
        </w:tc>
      </w:tr>
      <w:tr>
        <w:trPr>
          <w:cantSplit/>
        </w:trPr>
        <w:tc>
          <w:tcPr>
            <w:tcW w:type="dxa" w:w="1700"/>
            <w:shd w:fill="F1F5F5" w:color="auto" w:val="clear"/>
            <w:tcMar>
              <w:top w:type="dxa" w:w="60"/>
              <w:left w:type="dxa" w:w="100"/>
              <w:bottom w:type="dxa" w:w="60"/>
              <w:right w:type="dxa" w:w="100"/>
            </w:tcMar>
          </w:tcPr>
          <w:p>
            <w:pPr>
              <w:spacing w:after="0"/>
            </w:pPr>
            <w:r>
              <w:rPr>
                <w:b/>
                <w:bCs/>
                <w:color w:val="12333F"/>
                <w:sz w:val="20"/>
                <w:szCs w:val="20"/>
              </w:rPr>
              <w:t xml:space="preserve">Materials</w:t>
            </w:r>
          </w:p>
        </w:tc>
        <w:tc>
          <w:tcPr>
            <w:tcW w:type="dxa" w:w="8380"/>
            <w:tcMar>
              <w:top w:type="dxa" w:w="60"/>
              <w:left w:type="dxa" w:w="100"/>
              <w:bottom w:type="dxa" w:w="60"/>
              <w:right w:type="dxa" w:w="100"/>
            </w:tcMar>
          </w:tcPr>
          <w:p>
            <w:pPr>
              <w:spacing w:after="0"/>
            </w:pPr>
            <w:r>
              <w:rPr>
                <w:sz w:val="20"/>
                <w:szCs w:val="20"/>
              </w:rPr>
              <w:t xml:space="preserve">• Twelve paper creature cards per group, cut to the stated lengths</w:t>
            </w:r>
          </w:p>
          <w:p>
            <w:pPr>
              <w:spacing w:after="0"/>
            </w:pPr>
            <w:r>
              <w:rPr>
                <w:sz w:val="20"/>
                <w:szCs w:val="20"/>
              </w:rPr>
              <w:t xml:space="preserve">• Rulers marked in halves and fourths of an inch</w:t>
            </w:r>
          </w:p>
          <w:p>
            <w:pPr>
              <w:spacing w:after="0"/>
            </w:pPr>
            <w:r>
              <w:rPr>
                <w:sz w:val="20"/>
                <w:szCs w:val="20"/>
              </w:rPr>
              <w:t xml:space="preserve">• Masking tape for one floor line plot per group</w:t>
            </w:r>
          </w:p>
          <w:p>
            <w:pPr>
              <w:spacing w:after="0"/>
            </w:pPr>
            <w:r>
              <w:rPr>
                <w:sz w:val="20"/>
                <w:szCs w:val="20"/>
              </w:rPr>
              <w:t xml:space="preserve">• Printed student handout</w:t>
            </w:r>
          </w:p>
        </w:tc>
      </w:tr>
      <w:tr>
        <w:trPr>
          <w:cantSplit/>
        </w:trPr>
        <w:tc>
          <w:tcPr>
            <w:tcW w:type="dxa" w:w="1700"/>
            <w:shd w:fill="F1F5F5" w:color="auto" w:val="clear"/>
            <w:tcMar>
              <w:top w:type="dxa" w:w="60"/>
              <w:left w:type="dxa" w:w="100"/>
              <w:bottom w:type="dxa" w:w="60"/>
              <w:right w:type="dxa" w:w="100"/>
            </w:tcMar>
          </w:tcPr>
          <w:p>
            <w:pPr>
              <w:spacing w:after="0"/>
            </w:pPr>
            <w:r>
              <w:rPr>
                <w:b/>
                <w:bCs/>
                <w:color w:val="12333F"/>
                <w:sz w:val="20"/>
                <w:szCs w:val="20"/>
              </w:rPr>
              <w:t xml:space="preserve">Answer key</w:t>
            </w:r>
          </w:p>
        </w:tc>
        <w:tc>
          <w:tcPr>
            <w:tcW w:type="dxa" w:w="8380"/>
            <w:tcMar>
              <w:top w:type="dxa" w:w="60"/>
              <w:left w:type="dxa" w:w="100"/>
              <w:bottom w:type="dxa" w:w="60"/>
              <w:right w:type="dxa" w:w="100"/>
            </w:tcMar>
          </w:tcPr>
          <w:p>
            <w:pPr>
              <w:spacing w:after="0"/>
            </w:pPr>
            <w:r>
              <w:rPr>
                <w:sz w:val="20"/>
                <w:szCs w:val="20"/>
              </w:rPr>
              <w:t xml:space="preserve">At the end of this document</w:t>
            </w:r>
          </w:p>
        </w:tc>
      </w:tr>
      <w:tr>
        <w:trPr>
          <w:cantSplit/>
        </w:trPr>
        <w:tc>
          <w:tcPr>
            <w:tcW w:type="dxa" w:w="1700"/>
            <w:shd w:fill="F1F5F5" w:color="auto" w:val="clear"/>
            <w:tcMar>
              <w:top w:type="dxa" w:w="60"/>
              <w:left w:type="dxa" w:w="100"/>
              <w:bottom w:type="dxa" w:w="60"/>
              <w:right w:type="dxa" w:w="100"/>
            </w:tcMar>
          </w:tcPr>
          <w:p>
            <w:pPr>
              <w:spacing w:after="0"/>
            </w:pPr>
            <w:r>
              <w:rPr>
                <w:b/>
                <w:bCs/>
                <w:color w:val="12333F"/>
                <w:sz w:val="20"/>
                <w:szCs w:val="20"/>
              </w:rPr>
              <w:t xml:space="preserve">License</w:t>
            </w:r>
          </w:p>
        </w:tc>
        <w:tc>
          <w:tcPr>
            <w:tcW w:type="dxa" w:w="8380"/>
            <w:tcMar>
              <w:top w:type="dxa" w:w="60"/>
              <w:left w:type="dxa" w:w="100"/>
              <w:bottom w:type="dxa" w:w="60"/>
              <w:right w:type="dxa" w:w="100"/>
            </w:tcMar>
          </w:tcPr>
          <w:p>
            <w:pPr>
              <w:spacing w:after="0"/>
            </w:pPr>
            <w:r>
              <w:rPr>
                <w:sz w:val="20"/>
                <w:szCs w:val="20"/>
              </w:rPr>
              <w:t xml:space="preserve">Public domain (CC0). Copy, edit, and share freely, without attribution.</w:t>
            </w:r>
          </w:p>
        </w:tc>
      </w:tr>
    </w:tbl>
    <w:p>
      <w:pPr>
        <w:spacing w:after="120" w:before="0"/>
      </w:pPr>
    </w:p>
    <w:p>
      <w:pPr>
        <w:pStyle w:val="Heading2"/>
        <w:keepNext/>
        <w:keepLines/>
      </w:pPr>
      <w:r>
        <w:rPr>
          <w:sz w:val="28"/>
          <w:szCs w:val="28"/>
        </w:rPr>
        <w:t xml:space="preserve">Objectives</w:t>
      </w:r>
    </w:p>
    <w:p>
      <w:pPr>
        <w:pStyle w:val="ListParagraph"/>
        <w:keepNext/>
        <w:keepLines/>
        <w:numPr>
          <w:ilvl w:val="0"/>
          <w:numId w:val="2"/>
        </w:numPr>
        <w:spacing w:after="60" w:line="264"/>
        <w:ind w:left="720" w:hanging="360"/>
      </w:pPr>
      <w:r>
        <w:rPr>
          <w:sz w:val="22"/>
          <w:szCs w:val="22"/>
        </w:rPr>
        <w:t xml:space="preserve">Students will measure lengths to the nearest half inch using a ruler.</w:t>
      </w:r>
    </w:p>
    <w:p>
      <w:pPr>
        <w:pStyle w:val="ListParagraph"/>
        <w:keepNext/>
        <w:keepLines/>
        <w:numPr>
          <w:ilvl w:val="0"/>
          <w:numId w:val="2"/>
        </w:numPr>
        <w:spacing w:after="60" w:line="264"/>
        <w:ind w:left="720" w:hanging="360"/>
      </w:pPr>
      <w:r>
        <w:rPr>
          <w:sz w:val="22"/>
          <w:szCs w:val="22"/>
        </w:rPr>
        <w:t xml:space="preserve">Students will place measured data on a line plot marked in whole and half inches.</w:t>
      </w:r>
    </w:p>
    <w:p>
      <w:pPr>
        <w:pStyle w:val="ListParagraph"/>
        <w:keepLines/>
        <w:numPr>
          <w:ilvl w:val="0"/>
          <w:numId w:val="2"/>
        </w:numPr>
        <w:spacing w:after="60" w:line="264"/>
        <w:ind w:left="720" w:hanging="360"/>
      </w:pPr>
      <w:r>
        <w:rPr>
          <w:sz w:val="22"/>
          <w:szCs w:val="22"/>
        </w:rPr>
        <w:t xml:space="preserve">Students will answer how-many and how-many-more questions from a completed line plot.</w:t>
      </w:r>
    </w:p>
    <w:p>
      <w:pPr>
        <w:spacing w:after="40" w:before="0" w:line="120" w:lineRule="exact"/>
      </w:pPr>
    </w:p>
    <w:p>
      <w:pPr>
        <w:pStyle w:val="Heading2"/>
        <w:keepNext/>
        <w:keepLines/>
      </w:pPr>
      <w:r>
        <w:rPr>
          <w:sz w:val="28"/>
          <w:szCs w:val="28"/>
        </w:rPr>
        <w:t xml:space="preserve">Standards</w:t>
      </w:r>
    </w:p>
    <w:p>
      <w:pPr>
        <w:keepNext/>
        <w:spacing w:after="40" w:line="264"/>
      </w:pPr>
      <w:r>
        <w:rPr>
          <w:b/>
          <w:bCs/>
          <w:sz w:val="22"/>
          <w:szCs w:val="22"/>
        </w:rPr>
        <w:t xml:space="preserve">3.MD.B.4 (Common Core Math)</w:t>
      </w:r>
      <w:r>
        <w:rPr>
          <w:sz w:val="22"/>
          <w:szCs w:val="22"/>
        </w:rPr>
        <w:t xml:space="preserve">: Generate measurement data by measuring lengths using rulers marked with halves and fourths of an inch. Show the data by making a line plot, where the horizontal scale is marked off in appropriate units - whole numbers, halves, or quarters.</w:t>
      </w:r>
    </w:p>
    <w:p>
      <w:pPr>
        <w:spacing w:after="100" w:line="264"/>
        <w:ind w:left="360"/>
      </w:pPr>
      <w:r>
        <w:rPr>
          <w:i/>
          <w:iCs/>
          <w:color w:val="5B6B70"/>
          <w:sz w:val="20"/>
          <w:szCs w:val="20"/>
        </w:rPr>
        <w:t xml:space="preserve">How this material addresses it: Students measure twelve cards with a ruler marked in halves of an inch and place each one on a floor line plot whose scale is marked in whole and half inches.</w:t>
      </w:r>
    </w:p>
    <w:p>
      <w:pPr>
        <w:pStyle w:val="Heading2"/>
        <w:keepNext/>
        <w:keepLines/>
      </w:pPr>
      <w:r>
        <w:rPr>
          <w:sz w:val="28"/>
          <w:szCs w:val="28"/>
        </w:rPr>
        <w:t xml:space="preserve">Vocabulary</w:t>
      </w:r>
    </w:p>
    <w:p>
      <w:pPr>
        <w:spacing w:after="100" w:line="264"/>
      </w:pPr>
      <w:r>
        <w:rPr>
          <w:b/>
          <w:bCs/>
          <w:sz w:val="22"/>
          <w:szCs w:val="22"/>
        </w:rPr>
        <w:t xml:space="preserve">Key words: </w:t>
      </w:r>
      <w:r>
        <w:rPr>
          <w:sz w:val="22"/>
          <w:szCs w:val="22"/>
        </w:rPr>
        <w:t xml:space="preserve">line plot, half inch, dip net, survey, data</w:t>
      </w:r>
    </w:p>
    <w:p>
      <w:pPr>
        <w:pStyle w:val="Heading2"/>
        <w:keepNext/>
        <w:keepLines/>
      </w:pPr>
      <w:r>
        <w:rPr>
          <w:sz w:val="28"/>
          <w:szCs w:val="28"/>
        </w:rPr>
        <w:t xml:space="preserve">Teacher overview</w:t>
      </w:r>
    </w:p>
    <w:p>
      <w:pPr>
        <w:spacing w:after="100" w:line="264"/>
      </w:pPr>
      <w:r>
        <w:rPr>
          <w:sz w:val="22"/>
          <w:szCs w:val="22"/>
        </w:rPr>
        <w:t xml:space="preserve">People who check on the health of a pond often sweep a dip net through the shallow water, sort what they catch into a tray, and measure each creature before returning it. Skipjack Pond in this activity is fictional, and the twelve paper cards students measure stand in for a catch that was invented for the lesson. Groups of four measure their card set to the nearest half inch, then walk each card to a floor line plot made from masking tape and place it above the matching mark. The activity teaches the concept directly, because the stack of cards standing above each tape mark is the line plot itself, and students read their answers off a graph they built with their own measurements. The cards are cut to exact half-inch lengths, so every group's line plot comes out the same and the class can compare results.</w:t>
      </w:r>
    </w:p>
    <w:p>
      <w:pPr>
        <w:pStyle w:val="Heading2"/>
        <w:keepNext/>
        <w:keepLines/>
      </w:pPr>
      <w:r>
        <w:rPr>
          <w:sz w:val="28"/>
          <w:szCs w:val="28"/>
        </w:rPr>
        <w:t xml:space="preserve">Activity Directions</w:t>
      </w:r>
    </w:p>
    <w:p>
      <w:pPr>
        <w:spacing w:after="100" w:line="264"/>
      </w:pPr>
      <w:r>
        <w:rPr>
          <w:b/>
          <w:bCs/>
          <w:sz w:val="22"/>
          <w:szCs w:val="22"/>
        </w:rPr>
        <w:t xml:space="preserve">Step 1, setup before class (6 min).</w:t>
      </w:r>
      <w:r>
        <w:rPr>
          <w:sz w:val="22"/>
          <w:szCs w:val="22"/>
        </w:rPr>
        <w:t xml:space="preserve"> Prepare one set of twelve cards per group, letter them on the back to match the handout table, and cut them to these lengths: cards A and B are 1 inch, cards C, D, and E are 1 and one-half inches, cards F, G, H, and J are 2 inches, cards K and L are 2 and one-half inches, and card M is 3 inches. Do not write the lengths on the cards, since the group measures them. Lay one strip of masking tape per group across an open stretch of floor. Mark each strip at 1 inch, 1 and one-half inches, 2 inches, 2 and one-half inches, and 3 inches, spacing the marks evenly and labeling each one.</w:t>
      </w:r>
    </w:p>
    <w:p>
      <w:pPr>
        <w:spacing w:after="100" w:line="264"/>
      </w:pPr>
      <w:r>
        <w:rPr>
          <w:b/>
          <w:bCs/>
          <w:sz w:val="22"/>
          <w:szCs w:val="22"/>
        </w:rPr>
        <w:t xml:space="preserve">Step 2, explain how the activity works (4 min).</w:t>
      </w:r>
      <w:r>
        <w:rPr>
          <w:sz w:val="22"/>
          <w:szCs w:val="22"/>
        </w:rPr>
        <w:t xml:space="preserve"> Show the class a ruler and point out the halfway mark between two inch numbers. Hold up one card, measure it aloud, and walk it to the matching mark on the floor tape. Explain that each card placed above a mark is one piece of data, so the taller a stack grows, the more creatures were caught at that length.</w:t>
      </w:r>
    </w:p>
    <w:p>
      <w:pPr>
        <w:spacing w:after="100" w:line="264"/>
      </w:pPr>
      <w:r>
        <w:rPr>
          <w:b/>
          <w:bCs/>
          <w:sz w:val="22"/>
          <w:szCs w:val="22"/>
        </w:rPr>
        <w:t xml:space="preserve">Step 3, measure (12 min).</w:t>
      </w:r>
      <w:r>
        <w:rPr>
          <w:sz w:val="22"/>
          <w:szCs w:val="22"/>
        </w:rPr>
        <w:t xml:space="preserve"> Groups of four measure all twelve cards, taking turns so each student measures three cards. The group writes each card's length on the handout table as it is measured. Students who disagree about a length remeasure together before recording.</w:t>
      </w:r>
    </w:p>
    <w:p>
      <w:pPr>
        <w:spacing w:after="100" w:line="264"/>
      </w:pPr>
      <w:r>
        <w:rPr>
          <w:b/>
          <w:bCs/>
          <w:sz w:val="22"/>
          <w:szCs w:val="22"/>
        </w:rPr>
        <w:t xml:space="preserve">Step 4, build the floor line plot (8 min).</w:t>
      </w:r>
      <w:r>
        <w:rPr>
          <w:sz w:val="22"/>
          <w:szCs w:val="22"/>
        </w:rPr>
        <w:t xml:space="preserve"> Each group carries its cards to its own tape strip and places each card above the matching mark, lining the cards up in a neat column. Once every group has placed its cards, the class walks along the strips and compares the finished plots.</w:t>
      </w:r>
    </w:p>
    <w:p>
      <w:pPr>
        <w:spacing w:after="100" w:line="264"/>
      </w:pPr>
      <w:r>
        <w:rPr>
          <w:b/>
          <w:bCs/>
          <w:sz w:val="22"/>
          <w:szCs w:val="22"/>
        </w:rPr>
        <w:t xml:space="preserve">Step 5, record and answer (6 min).</w:t>
      </w:r>
      <w:r>
        <w:rPr>
          <w:sz w:val="22"/>
          <w:szCs w:val="22"/>
        </w:rPr>
        <w:t xml:space="preserve"> Students return to their seats and answer handout items 1 through 6 using their group's floor plot and their own table.</w:t>
      </w:r>
    </w:p>
    <w:p>
      <w:pPr>
        <w:spacing w:after="100" w:line="264"/>
      </w:pPr>
      <w:r>
        <w:rPr>
          <w:b/>
          <w:bCs/>
          <w:sz w:val="22"/>
          <w:szCs w:val="22"/>
        </w:rPr>
        <w:t xml:space="preserve">Step 6, debrief (4 min).</w:t>
      </w:r>
      <w:r>
        <w:rPr>
          <w:sz w:val="22"/>
          <w:szCs w:val="22"/>
        </w:rPr>
        <w:t xml:space="preserve"> The activity ends when every group has placed its cards and answered the six items. Ask two closing questions aloud: which mark has the tallest column of cards, and what a tall column tells us about the pond survey. Take one answer for each before collecting the handouts.</w:t>
      </w:r>
    </w:p>
    <w:p>
      <w:pPr>
        <w:pStyle w:val="Heading2"/>
        <w:keepNext/>
        <w:keepLines/>
      </w:pPr>
      <w:r>
        <w:rPr>
          <w:sz w:val="28"/>
          <w:szCs w:val="28"/>
        </w:rPr>
        <w:t xml:space="preserve">Differentiation</w:t>
      </w:r>
    </w:p>
    <w:p>
      <w:pPr>
        <w:pStyle w:val="Heading3"/>
        <w:keepNext/>
        <w:keepLines/>
      </w:pPr>
      <w:r>
        <w:rPr>
          <w:sz w:val="24"/>
          <w:szCs w:val="24"/>
        </w:rPr>
        <w:t xml:space="preserve">Support</w:t>
      </w:r>
    </w:p>
    <w:p>
      <w:pPr>
        <w:spacing w:after="100" w:line="264"/>
      </w:pPr>
      <w:r>
        <w:rPr>
          <w:sz w:val="22"/>
          <w:szCs w:val="22"/>
        </w:rPr>
        <w:t xml:space="preserve">Give these students a ruler with the half-inch marks highlighted in one color and the inch marks in another, and let them line each card against a pre-marked strip instead of reading the ruler cold. Assign a partner to check each measurement before it is recorded. Allow students to count the cards in each floor column by touching them rather than reading the numbers off their table.</w:t>
      </w:r>
    </w:p>
    <w:p>
      <w:pPr>
        <w:pStyle w:val="Heading3"/>
        <w:keepNext/>
        <w:keepLines/>
      </w:pPr>
      <w:r>
        <w:rPr>
          <w:sz w:val="24"/>
          <w:szCs w:val="24"/>
        </w:rPr>
        <w:t xml:space="preserve">Extension</w:t>
      </w:r>
    </w:p>
    <w:p>
      <w:pPr>
        <w:spacing w:after="100" w:line="264"/>
      </w:pPr>
      <w:r>
        <w:rPr>
          <w:sz w:val="22"/>
          <w:szCs w:val="22"/>
        </w:rPr>
        <w:t xml:space="preserve">Ask students to predict what the line plot would look like if the survey caught six more creatures, all of them 2 and one-half inches long, and to redraw the plot with those cards added. Have them explain why a line plot shows the shape of the catch more clearly than a written list of twelve lengths does.</w:t>
      </w:r>
    </w:p>
    <w:p>
      <w:pPr>
        <w:pStyle w:val="Heading3"/>
        <w:keepNext/>
        <w:keepLines/>
      </w:pPr>
      <w:r>
        <w:rPr>
          <w:sz w:val="24"/>
          <w:szCs w:val="24"/>
        </w:rPr>
        <w:t xml:space="preserve">ELL supports</w:t>
      </w:r>
    </w:p>
    <w:p>
      <w:pPr>
        <w:spacing w:after="100" w:line="264"/>
      </w:pPr>
      <w:r>
        <w:rPr>
          <w:sz w:val="22"/>
          <w:szCs w:val="22"/>
        </w:rPr>
        <w:t xml:space="preserve">Pre-teach "dip net," "survey," "length," and "line plot" using a photograph of a net and a tray beside a simple drawn plot with three marks. Model the measuring sentence aloud, "This card is ___ inches long," and post it where every group can see it. Let students place their cards on the floor plot before answering any written item, so the graph is the reference rather than the words.</w:t>
      </w:r>
    </w:p>
    <w:p>
      <w:pPr>
        <w:spacing w:before="0" w:after="0" w:line="20" w:lineRule="exact"/>
        <w:rPr>
          <w:sz w:val="2"/>
          <w:szCs w:val="2"/>
        </w:rPr>
        <w:sectPr>
          <w:footerReference w:type="default" r:id="rId6"/>
          <w:pgSz w:w="12240" w:h="15840" w:orient="portrait"/>
          <w:pgMar w:top="1080" w:right="1080" w:bottom="1080" w:left="1080" w:header="500" w:footer="500" w:gutter="0"/>
          <w:pgNumType/>
          <w:docGrid w:linePitch="360"/>
        </w:sectPr>
      </w:pPr>
    </w:p>
    <w:p>
      <w:pPr>
        <w:tabs>
          <w:tab w:val="left" w:pos="6250" w:leader="underscore"/>
          <w:tab w:val="right" w:pos="10080" w:leader="underscore"/>
        </w:tabs>
        <w:spacing w:after="240"/>
      </w:pPr>
      <w:r>
        <w:rPr>
          <w:sz w:val="24"/>
          <w:szCs w:val="24"/>
        </w:rPr>
        <w:t xml:space="preserve">Name	   Date	</w:t>
      </w:r>
    </w:p>
    <w:p>
      <w:pPr>
        <w:pStyle w:val="Heading1"/>
        <w:keepNext/>
      </w:pPr>
      <w:r>
        <w:rPr>
          <w:sz w:val="32"/>
          <w:szCs w:val="32"/>
        </w:rPr>
        <w:t xml:space="preserve">Skipjack Pond Dip Net Cards</w:t>
      </w:r>
    </w:p>
    <w:p>
      <w:pPr>
        <w:keepNext/>
        <w:spacing w:after="160"/>
      </w:pPr>
      <w:r>
        <w:rPr>
          <w:color w:val="5B6B70"/>
          <w:sz w:val="22"/>
          <w:szCs w:val="22"/>
        </w:rPr>
        <w:t xml:space="preserve">Grade 3 · Math</w:t>
      </w:r>
    </w:p>
    <w:p>
      <w:pPr>
        <w:pStyle w:val="Heading2"/>
        <w:keepNext/>
        <w:keepLines/>
      </w:pPr>
      <w:r>
        <w:rPr>
          <w:sz w:val="30"/>
          <w:szCs w:val="30"/>
        </w:rPr>
        <w:t xml:space="preserve">Student Handout</w:t>
      </w:r>
    </w:p>
    <w:p>
      <w:pPr>
        <w:keepNext/>
        <w:keepLines/>
        <w:spacing w:after="120" w:line="276"/>
      </w:pPr>
      <w:r>
        <w:rPr>
          <w:sz w:val="24"/>
          <w:szCs w:val="24"/>
        </w:rPr>
        <w:t xml:space="preserve">A dip net survey at Skipjack Pond caught twelve creatures. Each card stands for one creature. Measure each card to the nearest half inch and write its length in the table.</w:t>
      </w:r>
    </w:p>
    <w:tbl>
      <w:tblPr>
        <w:tblW w:type="dxa" w:w="10080"/>
        <w:tblBorders>
          <w:top w:val="single" w:color="9AA7AB" w:sz="6"/>
          <w:left w:val="single" w:color="9AA7AB" w:sz="6"/>
          <w:bottom w:val="single" w:color="9AA7AB" w:sz="6"/>
          <w:right w:val="single" w:color="9AA7AB" w:sz="6"/>
          <w:insideH w:val="single" w:color="9AA7AB" w:sz="6"/>
          <w:insideV w:val="single" w:color="9AA7AB" w:sz="6"/>
        </w:tblBorders>
        <w:tblLayout w:type="fixed"/>
      </w:tblPr>
      <w:tblGrid>
        <w:gridCol w:w="2520"/>
        <w:gridCol w:w="7560"/>
      </w:tblGrid>
      <w:tr>
        <w:trPr>
          <w:cantSplit/>
          <w:tblHeader/>
        </w:trPr>
        <w:tc>
          <w:tcPr>
            <w:tcW w:type="dxa" w:w="2520"/>
            <w:shd w:fill="E2EDED" w:color="auto" w:val="clear"/>
            <w:tcMar>
              <w:top w:type="dxa" w:w="70"/>
              <w:left w:type="dxa" w:w="100"/>
              <w:bottom w:type="dxa" w:w="70"/>
              <w:right w:type="dxa" w:w="100"/>
            </w:tcMar>
            <w:vAlign w:val="bottom"/>
          </w:tcPr>
          <w:p>
            <w:pPr>
              <w:keepNext/>
              <w:spacing w:after="0" w:line="252"/>
              <w:jc w:val="left"/>
            </w:pPr>
            <w:r>
              <w:rPr>
                <w:b/>
                <w:bCs/>
                <w:sz w:val="24"/>
                <w:szCs w:val="24"/>
              </w:rPr>
              <w:t xml:space="preserve">Card</w:t>
            </w:r>
          </w:p>
        </w:tc>
        <w:tc>
          <w:tcPr>
            <w:tcW w:type="dxa" w:w="7560"/>
            <w:shd w:fill="E2EDED" w:color="auto" w:val="clear"/>
            <w:tcMar>
              <w:top w:type="dxa" w:w="70"/>
              <w:left w:type="dxa" w:w="100"/>
              <w:bottom w:type="dxa" w:w="70"/>
              <w:right w:type="dxa" w:w="100"/>
            </w:tcMar>
            <w:vAlign w:val="bottom"/>
          </w:tcPr>
          <w:p>
            <w:pPr>
              <w:keepNext/>
              <w:spacing w:after="0" w:line="252"/>
              <w:jc w:val="left"/>
            </w:pPr>
            <w:r>
              <w:rPr>
                <w:b/>
                <w:bCs/>
                <w:sz w:val="24"/>
                <w:szCs w:val="24"/>
              </w:rPr>
              <w:t xml:space="preserve">Length</w:t>
            </w:r>
          </w:p>
        </w:tc>
      </w:tr>
      <w:tr>
        <w:trPr>
          <w:cantSplit/>
          <w:trHeight w:val="605" w:hRule="atLeast"/>
        </w:trPr>
        <w:tc>
          <w:tcPr>
            <w:tcW w:type="dxa" w:w="2520"/>
            <w:tcMar>
              <w:top w:type="dxa" w:w="70"/>
              <w:left w:type="dxa" w:w="100"/>
              <w:bottom w:type="dxa" w:w="70"/>
              <w:right w:type="dxa" w:w="100"/>
            </w:tcMar>
            <w:vAlign w:val="top"/>
          </w:tcPr>
          <w:p>
            <w:pPr>
              <w:keepNext/>
              <w:spacing w:after="0" w:line="252"/>
              <w:jc w:val="left"/>
            </w:pPr>
            <w:r>
              <w:rPr>
                <w:sz w:val="24"/>
                <w:szCs w:val="24"/>
              </w:rPr>
              <w:t xml:space="preserve">A</w:t>
            </w:r>
          </w:p>
        </w:tc>
        <w:tc>
          <w:tcPr>
            <w:tcW w:type="dxa" w:w="7560"/>
            <w:tcMar>
              <w:top w:type="dxa" w:w="70"/>
              <w:left w:type="dxa" w:w="100"/>
              <w:bottom w:type="dxa" w:w="70"/>
              <w:right w:type="dxa" w:w="100"/>
            </w:tcMar>
            <w:vAlign w:val="top"/>
          </w:tcPr>
          <w:p>
            <w:pPr>
              <w:keepNext/>
              <w:spacing w:after="0" w:line="252"/>
              <w:jc w:val="left"/>
            </w:pPr>
          </w:p>
        </w:tc>
      </w:tr>
      <w:tr>
        <w:trPr>
          <w:cantSplit/>
          <w:trHeight w:val="605" w:hRule="atLeast"/>
        </w:trPr>
        <w:tc>
          <w:tcPr>
            <w:tcW w:type="dxa" w:w="2520"/>
            <w:tcMar>
              <w:top w:type="dxa" w:w="70"/>
              <w:left w:type="dxa" w:w="100"/>
              <w:bottom w:type="dxa" w:w="70"/>
              <w:right w:type="dxa" w:w="100"/>
            </w:tcMar>
            <w:vAlign w:val="top"/>
          </w:tcPr>
          <w:p>
            <w:pPr>
              <w:keepNext/>
              <w:spacing w:after="0" w:line="252"/>
              <w:jc w:val="left"/>
            </w:pPr>
            <w:r>
              <w:rPr>
                <w:sz w:val="24"/>
                <w:szCs w:val="24"/>
              </w:rPr>
              <w:t xml:space="preserve">B</w:t>
            </w:r>
          </w:p>
        </w:tc>
        <w:tc>
          <w:tcPr>
            <w:tcW w:type="dxa" w:w="7560"/>
            <w:tcMar>
              <w:top w:type="dxa" w:w="70"/>
              <w:left w:type="dxa" w:w="100"/>
              <w:bottom w:type="dxa" w:w="70"/>
              <w:right w:type="dxa" w:w="100"/>
            </w:tcMar>
            <w:vAlign w:val="top"/>
          </w:tcPr>
          <w:p>
            <w:pPr>
              <w:keepNext/>
              <w:spacing w:after="0" w:line="252"/>
              <w:jc w:val="left"/>
            </w:pPr>
          </w:p>
        </w:tc>
      </w:tr>
      <w:tr>
        <w:trPr>
          <w:cantSplit/>
          <w:trHeight w:val="605" w:hRule="atLeast"/>
        </w:trPr>
        <w:tc>
          <w:tcPr>
            <w:tcW w:type="dxa" w:w="2520"/>
            <w:tcMar>
              <w:top w:type="dxa" w:w="70"/>
              <w:left w:type="dxa" w:w="100"/>
              <w:bottom w:type="dxa" w:w="70"/>
              <w:right w:type="dxa" w:w="100"/>
            </w:tcMar>
            <w:vAlign w:val="top"/>
          </w:tcPr>
          <w:p>
            <w:pPr>
              <w:keepNext/>
              <w:spacing w:after="0" w:line="252"/>
              <w:jc w:val="left"/>
            </w:pPr>
            <w:r>
              <w:rPr>
                <w:sz w:val="24"/>
                <w:szCs w:val="24"/>
              </w:rPr>
              <w:t xml:space="preserve">C</w:t>
            </w:r>
          </w:p>
        </w:tc>
        <w:tc>
          <w:tcPr>
            <w:tcW w:type="dxa" w:w="7560"/>
            <w:tcMar>
              <w:top w:type="dxa" w:w="70"/>
              <w:left w:type="dxa" w:w="100"/>
              <w:bottom w:type="dxa" w:w="70"/>
              <w:right w:type="dxa" w:w="100"/>
            </w:tcMar>
            <w:vAlign w:val="top"/>
          </w:tcPr>
          <w:p>
            <w:pPr>
              <w:keepNext/>
              <w:spacing w:after="0" w:line="252"/>
              <w:jc w:val="left"/>
            </w:pPr>
          </w:p>
        </w:tc>
      </w:tr>
      <w:tr>
        <w:trPr>
          <w:cantSplit/>
          <w:trHeight w:val="605" w:hRule="atLeast"/>
        </w:trPr>
        <w:tc>
          <w:tcPr>
            <w:tcW w:type="dxa" w:w="2520"/>
            <w:tcMar>
              <w:top w:type="dxa" w:w="70"/>
              <w:left w:type="dxa" w:w="100"/>
              <w:bottom w:type="dxa" w:w="70"/>
              <w:right w:type="dxa" w:w="100"/>
            </w:tcMar>
            <w:vAlign w:val="top"/>
          </w:tcPr>
          <w:p>
            <w:pPr>
              <w:keepNext/>
              <w:spacing w:after="0" w:line="252"/>
              <w:jc w:val="left"/>
            </w:pPr>
            <w:r>
              <w:rPr>
                <w:sz w:val="24"/>
                <w:szCs w:val="24"/>
              </w:rPr>
              <w:t xml:space="preserve">D</w:t>
            </w:r>
          </w:p>
        </w:tc>
        <w:tc>
          <w:tcPr>
            <w:tcW w:type="dxa" w:w="7560"/>
            <w:tcMar>
              <w:top w:type="dxa" w:w="70"/>
              <w:left w:type="dxa" w:w="100"/>
              <w:bottom w:type="dxa" w:w="70"/>
              <w:right w:type="dxa" w:w="100"/>
            </w:tcMar>
            <w:vAlign w:val="top"/>
          </w:tcPr>
          <w:p>
            <w:pPr>
              <w:keepNext/>
              <w:spacing w:after="0" w:line="252"/>
              <w:jc w:val="left"/>
            </w:pPr>
          </w:p>
        </w:tc>
      </w:tr>
      <w:tr>
        <w:trPr>
          <w:cantSplit/>
          <w:trHeight w:val="605" w:hRule="atLeast"/>
        </w:trPr>
        <w:tc>
          <w:tcPr>
            <w:tcW w:type="dxa" w:w="2520"/>
            <w:tcMar>
              <w:top w:type="dxa" w:w="70"/>
              <w:left w:type="dxa" w:w="100"/>
              <w:bottom w:type="dxa" w:w="70"/>
              <w:right w:type="dxa" w:w="100"/>
            </w:tcMar>
            <w:vAlign w:val="top"/>
          </w:tcPr>
          <w:p>
            <w:pPr>
              <w:keepNext/>
              <w:spacing w:after="0" w:line="252"/>
              <w:jc w:val="left"/>
            </w:pPr>
            <w:r>
              <w:rPr>
                <w:sz w:val="24"/>
                <w:szCs w:val="24"/>
              </w:rPr>
              <w:t xml:space="preserve">E</w:t>
            </w:r>
          </w:p>
        </w:tc>
        <w:tc>
          <w:tcPr>
            <w:tcW w:type="dxa" w:w="7560"/>
            <w:tcMar>
              <w:top w:type="dxa" w:w="70"/>
              <w:left w:type="dxa" w:w="100"/>
              <w:bottom w:type="dxa" w:w="70"/>
              <w:right w:type="dxa" w:w="100"/>
            </w:tcMar>
            <w:vAlign w:val="top"/>
          </w:tcPr>
          <w:p>
            <w:pPr>
              <w:keepNext/>
              <w:spacing w:after="0" w:line="252"/>
              <w:jc w:val="left"/>
            </w:pPr>
          </w:p>
        </w:tc>
      </w:tr>
      <w:tr>
        <w:trPr>
          <w:cantSplit/>
          <w:trHeight w:val="605" w:hRule="atLeast"/>
        </w:trPr>
        <w:tc>
          <w:tcPr>
            <w:tcW w:type="dxa" w:w="2520"/>
            <w:tcMar>
              <w:top w:type="dxa" w:w="70"/>
              <w:left w:type="dxa" w:w="100"/>
              <w:bottom w:type="dxa" w:w="70"/>
              <w:right w:type="dxa" w:w="100"/>
            </w:tcMar>
            <w:vAlign w:val="top"/>
          </w:tcPr>
          <w:p>
            <w:pPr>
              <w:keepNext/>
              <w:spacing w:after="0" w:line="252"/>
              <w:jc w:val="left"/>
            </w:pPr>
            <w:r>
              <w:rPr>
                <w:sz w:val="24"/>
                <w:szCs w:val="24"/>
              </w:rPr>
              <w:t xml:space="preserve">F</w:t>
            </w:r>
          </w:p>
        </w:tc>
        <w:tc>
          <w:tcPr>
            <w:tcW w:type="dxa" w:w="7560"/>
            <w:tcMar>
              <w:top w:type="dxa" w:w="70"/>
              <w:left w:type="dxa" w:w="100"/>
              <w:bottom w:type="dxa" w:w="70"/>
              <w:right w:type="dxa" w:w="100"/>
            </w:tcMar>
            <w:vAlign w:val="top"/>
          </w:tcPr>
          <w:p>
            <w:pPr>
              <w:keepNext/>
              <w:spacing w:after="0" w:line="252"/>
              <w:jc w:val="left"/>
            </w:pPr>
          </w:p>
        </w:tc>
      </w:tr>
      <w:tr>
        <w:trPr>
          <w:cantSplit/>
          <w:trHeight w:val="605" w:hRule="atLeast"/>
        </w:trPr>
        <w:tc>
          <w:tcPr>
            <w:tcW w:type="dxa" w:w="2520"/>
            <w:tcMar>
              <w:top w:type="dxa" w:w="70"/>
              <w:left w:type="dxa" w:w="100"/>
              <w:bottom w:type="dxa" w:w="70"/>
              <w:right w:type="dxa" w:w="100"/>
            </w:tcMar>
            <w:vAlign w:val="top"/>
          </w:tcPr>
          <w:p>
            <w:pPr>
              <w:keepNext/>
              <w:spacing w:after="0" w:line="252"/>
              <w:jc w:val="left"/>
            </w:pPr>
            <w:r>
              <w:rPr>
                <w:sz w:val="24"/>
                <w:szCs w:val="24"/>
              </w:rPr>
              <w:t xml:space="preserve">G</w:t>
            </w:r>
          </w:p>
        </w:tc>
        <w:tc>
          <w:tcPr>
            <w:tcW w:type="dxa" w:w="7560"/>
            <w:tcMar>
              <w:top w:type="dxa" w:w="70"/>
              <w:left w:type="dxa" w:w="100"/>
              <w:bottom w:type="dxa" w:w="70"/>
              <w:right w:type="dxa" w:w="100"/>
            </w:tcMar>
            <w:vAlign w:val="top"/>
          </w:tcPr>
          <w:p>
            <w:pPr>
              <w:keepNext/>
              <w:spacing w:after="0" w:line="252"/>
              <w:jc w:val="left"/>
            </w:pPr>
          </w:p>
        </w:tc>
      </w:tr>
      <w:tr>
        <w:trPr>
          <w:cantSplit/>
          <w:trHeight w:val="605" w:hRule="atLeast"/>
        </w:trPr>
        <w:tc>
          <w:tcPr>
            <w:tcW w:type="dxa" w:w="2520"/>
            <w:tcMar>
              <w:top w:type="dxa" w:w="70"/>
              <w:left w:type="dxa" w:w="100"/>
              <w:bottom w:type="dxa" w:w="70"/>
              <w:right w:type="dxa" w:w="100"/>
            </w:tcMar>
            <w:vAlign w:val="top"/>
          </w:tcPr>
          <w:p>
            <w:pPr>
              <w:keepNext/>
              <w:spacing w:after="0" w:line="252"/>
              <w:jc w:val="left"/>
            </w:pPr>
            <w:r>
              <w:rPr>
                <w:sz w:val="24"/>
                <w:szCs w:val="24"/>
              </w:rPr>
              <w:t xml:space="preserve">H</w:t>
            </w:r>
          </w:p>
        </w:tc>
        <w:tc>
          <w:tcPr>
            <w:tcW w:type="dxa" w:w="7560"/>
            <w:tcMar>
              <w:top w:type="dxa" w:w="70"/>
              <w:left w:type="dxa" w:w="100"/>
              <w:bottom w:type="dxa" w:w="70"/>
              <w:right w:type="dxa" w:w="100"/>
            </w:tcMar>
            <w:vAlign w:val="top"/>
          </w:tcPr>
          <w:p>
            <w:pPr>
              <w:keepNext/>
              <w:spacing w:after="0" w:line="252"/>
              <w:jc w:val="left"/>
            </w:pPr>
          </w:p>
        </w:tc>
      </w:tr>
      <w:tr>
        <w:trPr>
          <w:cantSplit/>
          <w:trHeight w:val="605" w:hRule="atLeast"/>
        </w:trPr>
        <w:tc>
          <w:tcPr>
            <w:tcW w:type="dxa" w:w="2520"/>
            <w:tcMar>
              <w:top w:type="dxa" w:w="70"/>
              <w:left w:type="dxa" w:w="100"/>
              <w:bottom w:type="dxa" w:w="70"/>
              <w:right w:type="dxa" w:w="100"/>
            </w:tcMar>
            <w:vAlign w:val="top"/>
          </w:tcPr>
          <w:p>
            <w:pPr>
              <w:keepNext/>
              <w:spacing w:after="0" w:line="252"/>
              <w:jc w:val="left"/>
            </w:pPr>
            <w:r>
              <w:rPr>
                <w:sz w:val="24"/>
                <w:szCs w:val="24"/>
              </w:rPr>
              <w:t xml:space="preserve">J</w:t>
            </w:r>
          </w:p>
        </w:tc>
        <w:tc>
          <w:tcPr>
            <w:tcW w:type="dxa" w:w="7560"/>
            <w:tcMar>
              <w:top w:type="dxa" w:w="70"/>
              <w:left w:type="dxa" w:w="100"/>
              <w:bottom w:type="dxa" w:w="70"/>
              <w:right w:type="dxa" w:w="100"/>
            </w:tcMar>
            <w:vAlign w:val="top"/>
          </w:tcPr>
          <w:p>
            <w:pPr>
              <w:keepNext/>
              <w:spacing w:after="0" w:line="252"/>
              <w:jc w:val="left"/>
            </w:pPr>
          </w:p>
        </w:tc>
      </w:tr>
      <w:tr>
        <w:trPr>
          <w:cantSplit/>
          <w:trHeight w:val="605" w:hRule="atLeast"/>
        </w:trPr>
        <w:tc>
          <w:tcPr>
            <w:tcW w:type="dxa" w:w="2520"/>
            <w:tcMar>
              <w:top w:type="dxa" w:w="70"/>
              <w:left w:type="dxa" w:w="100"/>
              <w:bottom w:type="dxa" w:w="70"/>
              <w:right w:type="dxa" w:w="100"/>
            </w:tcMar>
            <w:vAlign w:val="top"/>
          </w:tcPr>
          <w:p>
            <w:pPr>
              <w:keepNext/>
              <w:spacing w:after="0" w:line="252"/>
              <w:jc w:val="left"/>
            </w:pPr>
            <w:r>
              <w:rPr>
                <w:sz w:val="24"/>
                <w:szCs w:val="24"/>
              </w:rPr>
              <w:t xml:space="preserve">K</w:t>
            </w:r>
          </w:p>
        </w:tc>
        <w:tc>
          <w:tcPr>
            <w:tcW w:type="dxa" w:w="7560"/>
            <w:tcMar>
              <w:top w:type="dxa" w:w="70"/>
              <w:left w:type="dxa" w:w="100"/>
              <w:bottom w:type="dxa" w:w="70"/>
              <w:right w:type="dxa" w:w="100"/>
            </w:tcMar>
            <w:vAlign w:val="top"/>
          </w:tcPr>
          <w:p>
            <w:pPr>
              <w:keepNext/>
              <w:spacing w:after="0" w:line="252"/>
              <w:jc w:val="left"/>
            </w:pPr>
          </w:p>
        </w:tc>
      </w:tr>
      <w:tr>
        <w:trPr>
          <w:cantSplit/>
          <w:trHeight w:val="605" w:hRule="atLeast"/>
        </w:trPr>
        <w:tc>
          <w:tcPr>
            <w:tcW w:type="dxa" w:w="2520"/>
            <w:tcMar>
              <w:top w:type="dxa" w:w="70"/>
              <w:left w:type="dxa" w:w="100"/>
              <w:bottom w:type="dxa" w:w="70"/>
              <w:right w:type="dxa" w:w="100"/>
            </w:tcMar>
            <w:vAlign w:val="top"/>
          </w:tcPr>
          <w:p>
            <w:pPr>
              <w:keepNext/>
              <w:spacing w:after="0" w:line="252"/>
              <w:jc w:val="left"/>
            </w:pPr>
            <w:r>
              <w:rPr>
                <w:sz w:val="24"/>
                <w:szCs w:val="24"/>
              </w:rPr>
              <w:t xml:space="preserve">L</w:t>
            </w:r>
          </w:p>
        </w:tc>
        <w:tc>
          <w:tcPr>
            <w:tcW w:type="dxa" w:w="7560"/>
            <w:tcMar>
              <w:top w:type="dxa" w:w="70"/>
              <w:left w:type="dxa" w:w="100"/>
              <w:bottom w:type="dxa" w:w="70"/>
              <w:right w:type="dxa" w:w="100"/>
            </w:tcMar>
            <w:vAlign w:val="top"/>
          </w:tcPr>
          <w:p>
            <w:pPr>
              <w:keepNext/>
              <w:spacing w:after="0" w:line="252"/>
              <w:jc w:val="left"/>
            </w:pPr>
          </w:p>
        </w:tc>
      </w:tr>
      <w:tr>
        <w:trPr>
          <w:cantSplit/>
          <w:trHeight w:val="605" w:hRule="atLeast"/>
        </w:trPr>
        <w:tc>
          <w:tcPr>
            <w:tcW w:type="dxa" w:w="2520"/>
            <w:tcMar>
              <w:top w:type="dxa" w:w="70"/>
              <w:left w:type="dxa" w:w="100"/>
              <w:bottom w:type="dxa" w:w="70"/>
              <w:right w:type="dxa" w:w="100"/>
            </w:tcMar>
            <w:vAlign w:val="top"/>
          </w:tcPr>
          <w:p>
            <w:pPr>
              <w:spacing w:after="0" w:line="252"/>
              <w:jc w:val="left"/>
            </w:pPr>
            <w:r>
              <w:rPr>
                <w:sz w:val="24"/>
                <w:szCs w:val="24"/>
              </w:rPr>
              <w:t xml:space="preserve">M</w:t>
            </w:r>
          </w:p>
        </w:tc>
        <w:tc>
          <w:tcPr>
            <w:tcW w:type="dxa" w:w="7560"/>
            <w:tcMar>
              <w:top w:type="dxa" w:w="70"/>
              <w:left w:type="dxa" w:w="100"/>
              <w:bottom w:type="dxa" w:w="70"/>
              <w:right w:type="dxa" w:w="100"/>
            </w:tcMar>
            <w:vAlign w:val="top"/>
          </w:tcPr>
          <w:p>
            <w:pPr>
              <w:spacing w:after="0" w:line="252"/>
              <w:jc w:val="left"/>
            </w:pPr>
          </w:p>
        </w:tc>
      </w:tr>
    </w:tbl>
    <w:p>
      <w:pPr>
        <w:spacing w:after="160" w:before="0"/>
      </w:pPr>
    </w:p>
    <w:p>
      <w:pPr>
        <w:pStyle w:val="ListParagraph"/>
        <w:keepNext/>
        <w:keepLines/>
        <w:numPr>
          <w:ilvl w:val="0"/>
          <w:numId w:val="3"/>
        </w:numPr>
        <w:spacing w:after="100" w:line="276"/>
        <w:ind w:left="720" w:hanging="520"/>
      </w:pPr>
      <w:r>
        <w:rPr>
          <w:sz w:val="24"/>
          <w:szCs w:val="24"/>
        </w:rPr>
        <w:t xml:space="preserve">How many cards measured 2 inches?</w:t>
      </w:r>
    </w:p>
    <w:p>
      <w:pPr>
        <w:keepLines/>
        <w:spacing w:after="0" w:before="0" w:line="2016" w:lineRule="exact"/>
        <w:ind w:left="720"/>
      </w:pPr>
    </w:p>
    <w:p>
      <w:pPr>
        <w:pStyle w:val="ListParagraph"/>
        <w:keepNext/>
        <w:keepLines/>
        <w:numPr>
          <w:ilvl w:val="0"/>
          <w:numId w:val="3"/>
        </w:numPr>
        <w:spacing w:after="100" w:line="276"/>
        <w:ind w:left="720" w:hanging="520"/>
      </w:pPr>
      <w:r>
        <w:rPr>
          <w:sz w:val="24"/>
          <w:szCs w:val="24"/>
        </w:rPr>
        <w:t xml:space="preserve">How many cards measured 1 and one-half inches?</w:t>
      </w:r>
    </w:p>
    <w:p>
      <w:pPr>
        <w:keepLines/>
        <w:spacing w:after="0" w:before="0" w:line="2016" w:lineRule="exact"/>
        <w:ind w:left="720"/>
      </w:pPr>
    </w:p>
    <w:p>
      <w:pPr>
        <w:pStyle w:val="ListParagraph"/>
        <w:keepNext/>
        <w:keepLines/>
        <w:numPr>
          <w:ilvl w:val="0"/>
          <w:numId w:val="3"/>
        </w:numPr>
        <w:spacing w:after="100" w:line="276"/>
        <w:ind w:left="720" w:hanging="520"/>
      </w:pPr>
      <w:r>
        <w:rPr>
          <w:sz w:val="24"/>
          <w:szCs w:val="24"/>
        </w:rPr>
        <w:t xml:space="preserve">Which length has the most cards above it on the line plot?</w:t>
      </w:r>
    </w:p>
    <w:p>
      <w:pPr>
        <w:keepNext/>
        <w:keepLines/>
        <w:pBdr>
          <w:bottom w:val="single" w:color="7F8B8F" w:sz="6" w:space="1"/>
          <w:between w:val="single" w:color="7F8B8F" w:sz="6" w:space="1"/>
        </w:pBdr>
        <w:spacing w:after="0" w:before="0" w:line="500" w:lineRule="exact"/>
        <w:ind w:left="720"/>
      </w:pPr>
    </w:p>
    <w:p>
      <w:pPr>
        <w:keepNext/>
        <w:keepLines/>
        <w:pBdr>
          <w:bottom w:val="single" w:color="7F8B8F" w:sz="6" w:space="1"/>
          <w:between w:val="single" w:color="7F8B8F" w:sz="6" w:space="1"/>
        </w:pBdr>
        <w:spacing w:after="0" w:before="0" w:line="500" w:lineRule="exact"/>
        <w:ind w:left="720"/>
      </w:pPr>
    </w:p>
    <w:p>
      <w:pPr>
        <w:keepLines/>
        <w:pBdr>
          <w:bottom w:val="single" w:color="7F8B8F" w:sz="6" w:space="1"/>
          <w:between w:val="single" w:color="7F8B8F" w:sz="6" w:space="1"/>
        </w:pBdr>
        <w:spacing w:after="0" w:before="0" w:line="500" w:lineRule="exact"/>
        <w:ind w:left="720"/>
      </w:pPr>
    </w:p>
    <w:p>
      <w:pPr>
        <w:spacing w:after="100" w:before="0"/>
      </w:pPr>
    </w:p>
    <w:p>
      <w:pPr>
        <w:pStyle w:val="ListParagraph"/>
        <w:keepNext/>
        <w:keepLines/>
        <w:numPr>
          <w:ilvl w:val="0"/>
          <w:numId w:val="3"/>
        </w:numPr>
        <w:spacing w:after="100" w:line="276"/>
        <w:ind w:left="720" w:hanging="520"/>
      </w:pPr>
      <w:r>
        <w:rPr>
          <w:sz w:val="24"/>
          <w:szCs w:val="24"/>
        </w:rPr>
        <w:t xml:space="preserve">How many cards are shorter than 2 inches?</w:t>
      </w:r>
    </w:p>
    <w:p>
      <w:pPr>
        <w:keepLines/>
        <w:spacing w:after="0" w:before="0" w:line="2016" w:lineRule="exact"/>
        <w:ind w:left="720"/>
      </w:pPr>
    </w:p>
    <w:p>
      <w:pPr>
        <w:pStyle w:val="ListParagraph"/>
        <w:keepNext/>
        <w:keepLines/>
        <w:numPr>
          <w:ilvl w:val="0"/>
          <w:numId w:val="3"/>
        </w:numPr>
        <w:spacing w:after="100" w:line="276"/>
        <w:ind w:left="720" w:hanging="520"/>
      </w:pPr>
      <w:r>
        <w:rPr>
          <w:sz w:val="24"/>
          <w:szCs w:val="24"/>
        </w:rPr>
        <w:t xml:space="preserve">How many cards are on the line plot in all?</w:t>
      </w:r>
    </w:p>
    <w:p>
      <w:pPr>
        <w:keepLines/>
        <w:spacing w:after="0" w:before="0" w:line="2016" w:lineRule="exact"/>
        <w:ind w:left="720"/>
      </w:pPr>
    </w:p>
    <w:p>
      <w:pPr>
        <w:pStyle w:val="ListParagraph"/>
        <w:keepNext/>
        <w:keepLines/>
        <w:numPr>
          <w:ilvl w:val="0"/>
          <w:numId w:val="3"/>
        </w:numPr>
        <w:spacing w:after="100" w:line="276"/>
        <w:ind w:left="720" w:hanging="520"/>
      </w:pPr>
      <w:r>
        <w:rPr>
          <w:sz w:val="24"/>
          <w:szCs w:val="24"/>
        </w:rPr>
        <w:t xml:space="preserve">How many more cards measured 2 inches than measured 3 inches?</w:t>
      </w:r>
    </w:p>
    <w:p>
      <w:pPr>
        <w:keepLines/>
        <w:spacing w:after="0" w:before="0" w:line="2016" w:lineRule="exact"/>
        <w:ind w:left="720"/>
      </w:pPr>
    </w:p>
    <w:p>
      <w:pPr>
        <w:spacing w:before="0" w:after="0" w:line="20" w:lineRule="exact"/>
        <w:rPr>
          <w:sz w:val="2"/>
          <w:szCs w:val="2"/>
        </w:rPr>
        <w:sectPr>
          <w:footerReference w:type="default" r:id="rId7"/>
          <w:pgSz w:w="12240" w:h="15840" w:orient="portrait"/>
          <w:pgMar w:top="1080" w:right="1080" w:bottom="1080" w:left="1080" w:header="500" w:footer="500" w:gutter="0"/>
          <w:pgNumType/>
          <w:docGrid w:linePitch="360"/>
        </w:sectPr>
      </w:pPr>
    </w:p>
    <w:p>
      <w:pPr>
        <w:keepNext/>
        <w:pBdr>
          <w:top w:val="single" w:color="17606A" w:sz="24" w:space="2"/>
          <w:bottom w:val="single" w:color="17606A" w:sz="24" w:space="2"/>
        </w:pBdr>
        <w:shd w:fill="17606A" w:color="auto" w:val="clear"/>
        <w:spacing w:after="200" w:before="0"/>
        <w:ind w:left="0"/>
      </w:pPr>
      <w:r>
        <w:rPr>
          <w:b/>
          <w:bCs/>
          <w:color w:val="FFFFFF"/>
          <w:spacing w:val="30"/>
          <w:sz w:val="18"/>
          <w:szCs w:val="18"/>
        </w:rPr>
        <w:t xml:space="preserve">ANSWER KEY · FOR TEACHERS</w:t>
      </w:r>
    </w:p>
    <w:p>
      <w:pPr>
        <w:pStyle w:val="Heading1"/>
        <w:keepNext/>
        <w:keepLines/>
      </w:pPr>
      <w:r>
        <w:rPr>
          <w:sz w:val="40"/>
          <w:szCs w:val="40"/>
        </w:rPr>
        <w:t xml:space="preserve">Skipjack Pond Dip Net Cards: A Grade 3 Line Plot Activity</w:t>
      </w:r>
    </w:p>
    <w:p>
      <w:pPr>
        <w:keepNext/>
        <w:spacing w:after="160"/>
      </w:pPr>
      <w:r>
        <w:rPr>
          <w:color w:val="5B6B70"/>
          <w:sz w:val="20"/>
          <w:szCs w:val="20"/>
        </w:rPr>
        <w:t xml:space="preserve">Classroom activity · Grade 3 · Math</w:t>
      </w:r>
    </w:p>
    <w:p>
      <w:pPr>
        <w:pStyle w:val="ListParagraph"/>
        <w:keepNext/>
        <w:keepLines/>
        <w:numPr>
          <w:ilvl w:val="0"/>
          <w:numId w:val="4"/>
        </w:numPr>
        <w:spacing w:after="60" w:line="264"/>
        <w:ind w:left="720" w:hanging="360"/>
      </w:pPr>
      <w:r>
        <w:rPr>
          <w:b/>
          <w:bCs/>
          <w:sz w:val="22"/>
          <w:szCs w:val="22"/>
        </w:rPr>
        <w:t xml:space="preserve">Answer:</w:t>
      </w:r>
      <w:r>
        <w:rPr>
          <w:sz w:val="22"/>
          <w:szCs w:val="22"/>
        </w:rPr>
        <w:t xml:space="preserve"> 4 cards.</w:t>
      </w:r>
      <w:r>
        <w:rPr>
          <w:sz w:val="22"/>
          <w:szCs w:val="22"/>
        </w:rPr>
        <w:br/>
      </w:r>
      <w:r>
        <w:rPr>
          <w:sz w:val="22"/>
          <w:szCs w:val="22"/>
        </w:rPr>
        <w:t xml:space="preserve">Cards F, G, H, and J each measure 2 inches, so the column above the 2-inch mark holds 4 cards.</w:t>
      </w:r>
    </w:p>
    <w:p>
      <w:pPr>
        <w:pStyle w:val="ListParagraph"/>
        <w:keepNext/>
        <w:keepLines/>
        <w:numPr>
          <w:ilvl w:val="0"/>
          <w:numId w:val="4"/>
        </w:numPr>
        <w:spacing w:after="60" w:line="264"/>
        <w:ind w:left="720" w:hanging="360"/>
      </w:pPr>
      <w:r>
        <w:rPr>
          <w:b/>
          <w:bCs/>
          <w:sz w:val="22"/>
          <w:szCs w:val="22"/>
        </w:rPr>
        <w:t xml:space="preserve">Answer:</w:t>
      </w:r>
      <w:r>
        <w:rPr>
          <w:sz w:val="22"/>
          <w:szCs w:val="22"/>
        </w:rPr>
        <w:t xml:space="preserve"> 3 cards.</w:t>
      </w:r>
      <w:r>
        <w:rPr>
          <w:sz w:val="22"/>
          <w:szCs w:val="22"/>
        </w:rPr>
        <w:br/>
      </w:r>
      <w:r>
        <w:rPr>
          <w:sz w:val="22"/>
          <w:szCs w:val="22"/>
        </w:rPr>
        <w:t xml:space="preserve">Cards C, D, and E each measure 1 and one-half inches.</w:t>
      </w:r>
    </w:p>
    <w:p>
      <w:pPr>
        <w:pStyle w:val="ListParagraph"/>
        <w:keepNext/>
        <w:keepLines/>
        <w:numPr>
          <w:ilvl w:val="0"/>
          <w:numId w:val="4"/>
        </w:numPr>
        <w:spacing w:after="60" w:line="264"/>
        <w:ind w:left="720" w:hanging="360"/>
      </w:pPr>
      <w:r>
        <w:rPr>
          <w:b/>
          <w:bCs/>
          <w:sz w:val="22"/>
          <w:szCs w:val="22"/>
        </w:rPr>
        <w:t xml:space="preserve">Answer:</w:t>
      </w:r>
      <w:r>
        <w:rPr>
          <w:sz w:val="22"/>
          <w:szCs w:val="22"/>
        </w:rPr>
        <w:t xml:space="preserve"> 2 inches.</w:t>
      </w:r>
      <w:r>
        <w:rPr>
          <w:sz w:val="22"/>
          <w:szCs w:val="22"/>
        </w:rPr>
        <w:br/>
      </w:r>
      <w:r>
        <w:rPr>
          <w:sz w:val="22"/>
          <w:szCs w:val="22"/>
        </w:rPr>
        <w:t xml:space="preserve">The 2-inch mark holds 4 cards, which is more than any other mark on the plot.</w:t>
      </w:r>
    </w:p>
    <w:p>
      <w:pPr>
        <w:pStyle w:val="ListParagraph"/>
        <w:keepNext/>
        <w:keepLines/>
        <w:numPr>
          <w:ilvl w:val="0"/>
          <w:numId w:val="4"/>
        </w:numPr>
        <w:spacing w:after="60" w:line="264"/>
        <w:ind w:left="720" w:hanging="360"/>
      </w:pPr>
      <w:r>
        <w:rPr>
          <w:b/>
          <w:bCs/>
          <w:sz w:val="22"/>
          <w:szCs w:val="22"/>
        </w:rPr>
        <w:t xml:space="preserve">Answer:</w:t>
      </w:r>
      <w:r>
        <w:rPr>
          <w:sz w:val="22"/>
          <w:szCs w:val="22"/>
        </w:rPr>
        <w:t xml:space="preserve"> 5 cards.</w:t>
      </w:r>
      <w:r>
        <w:rPr>
          <w:sz w:val="22"/>
          <w:szCs w:val="22"/>
        </w:rPr>
        <w:br/>
      </w:r>
      <w:r>
        <w:rPr>
          <w:sz w:val="22"/>
          <w:szCs w:val="22"/>
        </w:rPr>
        <w:t xml:space="preserve">Two cards measure 1 inch and three cards measure 1 and one-half inches, so 2 + 3 = 5 cards are shorter than 2 inches.</w:t>
      </w:r>
    </w:p>
    <w:p>
      <w:pPr>
        <w:pStyle w:val="ListParagraph"/>
        <w:keepNext/>
        <w:keepLines/>
        <w:numPr>
          <w:ilvl w:val="0"/>
          <w:numId w:val="4"/>
        </w:numPr>
        <w:spacing w:after="60" w:line="264"/>
        <w:ind w:left="720" w:hanging="360"/>
      </w:pPr>
      <w:r>
        <w:rPr>
          <w:b/>
          <w:bCs/>
          <w:sz w:val="22"/>
          <w:szCs w:val="22"/>
        </w:rPr>
        <w:t xml:space="preserve">Answer:</w:t>
      </w:r>
      <w:r>
        <w:rPr>
          <w:sz w:val="22"/>
          <w:szCs w:val="22"/>
        </w:rPr>
        <w:t xml:space="preserve"> 12 cards.</w:t>
      </w:r>
      <w:r>
        <w:rPr>
          <w:sz w:val="22"/>
          <w:szCs w:val="22"/>
        </w:rPr>
        <w:br/>
      </w:r>
      <w:r>
        <w:rPr>
          <w:sz w:val="22"/>
          <w:szCs w:val="22"/>
        </w:rPr>
        <w:t xml:space="preserve">Adding every column gives 2 + 3 + 4 + 2 + 1 = 12 cards, which matches the twelve cards in the set.</w:t>
      </w:r>
    </w:p>
    <w:p>
      <w:pPr>
        <w:pStyle w:val="ListParagraph"/>
        <w:keepLines/>
        <w:numPr>
          <w:ilvl w:val="0"/>
          <w:numId w:val="4"/>
        </w:numPr>
        <w:spacing w:after="60" w:line="264"/>
        <w:ind w:left="720" w:hanging="360"/>
      </w:pPr>
      <w:r>
        <w:rPr>
          <w:b/>
          <w:bCs/>
          <w:sz w:val="22"/>
          <w:szCs w:val="22"/>
        </w:rPr>
        <w:t xml:space="preserve">Answer:</w:t>
      </w:r>
      <w:r>
        <w:rPr>
          <w:sz w:val="22"/>
          <w:szCs w:val="22"/>
        </w:rPr>
        <w:t xml:space="preserve"> 3 cards.</w:t>
      </w:r>
      <w:r>
        <w:rPr>
          <w:sz w:val="22"/>
          <w:szCs w:val="22"/>
        </w:rPr>
        <w:br/>
      </w:r>
      <w:r>
        <w:rPr>
          <w:sz w:val="22"/>
          <w:szCs w:val="22"/>
        </w:rPr>
        <w:t xml:space="preserve">Four cards measure 2 inches and one card measures 3 inches, so 4 − 1 = 3 more cards.</w:t>
      </w:r>
    </w:p>
    <w:sectPr>
      <w:footerReference w:type="default" r:id="rId8"/>
      <w:pgSz w:w="12240" w:h="15840" w:orient="portrait"/>
      <w:pgMar w:top="1080" w:right="1080" w:bottom="1080" w:left="1080" w:header="500" w:footer="500" w:gutter="0"/>
      <w:pgNumType/>
      <w:docGrid w:linePitch="360"/>
    </w:sectPr>
  </w:body>
</w:document>
</file>

<file path=word/endnotes.xml><?xml version="1.0" encoding="utf-8"?>
<w:endnotes xmlns:wpc="http://schemas.microsoft.com/office/word/2010/wordprocessingCanvas" xmlns:mc="http://schemas.openxmlformats.org/markup-compatibility/2006" xmlns:o="urn:schemas-microsoft-com:office:office" xmlns:r="http://schemas.openxmlformats.org/officeDocument/2006/relationships" xmlns:m="http://schemas.openxmlformats.org/officeDocument/2006/math" xmlns:v="urn:schemas-microsoft-com:vml" xmlns:wp14="http://schemas.microsoft.com/office/word/2010/wordprocessingDrawing" xmlns:wp="http://schemas.openxmlformats.org/drawingml/2006/wordprocessingDrawing" xmlns:w10="urn:schemas-microsoft-com:office:word" xmlns:w="http://schemas.openxmlformats.org/wordprocessingml/2006/main" xmlns:w14="http://schemas.microsoft.com/office/word/2010/wordml" xmlns:w15="http://schemas.microsoft.com/office/word/2012/wordml" xmlns:wpg="http://schemas.microsoft.com/office/word/2010/wordprocessingGroup" xmlns:wpi="http://schemas.microsoft.com/office/word/2010/wordprocessingInk" xmlns:wne="http://schemas.microsoft.com/office/word/2006/wordml" xmlns:wps="http://schemas.microsoft.com/office/word/2010/wordprocessingShape" mc:Ignorable="w14 w15 wp14">
  <w:endnote w:type="separator" w:id="-1">
    <w:p>
      <w:pPr>
        <w:spacing w:after="0" w:line="240" w:lineRule="auto"/>
      </w:pPr>
      <w:r>
        <w:rPr>
          <w:rStyle w:val="EndnoteReference"/>
        </w:rPr>
        <w:endnoteRef/>
      </w:r>
      <w:r>
        <w:separator/>
      </w:r>
    </w:p>
  </w:endnote>
  <w:endnote w:type="continuationSeparator" w:id="0">
    <w:p>
      <w:pPr>
        <w:spacing w:after="0" w:line="240" w:lineRule="auto"/>
      </w:pPr>
      <w:r>
        <w:rPr>
          <w:rStyle w:val="EndnoteReference"/>
        </w:rPr>
        <w:endnoteRef/>
      </w:r>
      <w:r>
        <w:continuationSeparator/>
      </w:r>
    </w:p>
  </w:endnote>
</w:endnotes>
</file>

<file path=word/fontTable.xml><?xml version="1.0" encoding="utf-8"?>
<w:fonts xmlns:mc="http://schemas.openxmlformats.org/markup-compatibility/2006" xmlns:r="http://schemas.openxmlformats.org/officeDocument/2006/relationships" xmlns:w="http://schemas.openxmlformats.org/wordprocessingml/2006/main" xmlns:w14="http://schemas.microsoft.com/office/word/2010/wordml" xmlns:w15="http://schemas.microsoft.com/office/word/2012/wordml" xmlns:w16cex="http://schemas.microsoft.com/office/word/2018/wordml/cex" xmlns:w16cid="http://schemas.microsoft.com/office/word/2016/wordml/cid" xmlns:w16="http://schemas.microsoft.com/office/word/2018/wordml" xmlns:w16sdtdh="http://schemas.microsoft.com/office/word/2020/wordml/sdtdatahash" xmlns:w16se="http://schemas.microsoft.com/office/word/2015/wordml/symex" mc:Ignorable="w14 w15 w16se w16cid w16 w16cex w16sdtdh"/>
</file>

<file path=word/footer1.xml><?xml version="1.0" encoding="utf-8"?>
<w:ftr xmlns:wpc="http://schemas.microsoft.com/office/word/2010/wordprocessingCanvas" xmlns:mc="http://schemas.openxmlformats.org/markup-compatibility/2006" xmlns:o="urn:schemas-microsoft-com:office:office" xmlns:r="http://schemas.openxmlformats.org/officeDocument/2006/relationships" xmlns:m="http://schemas.openxmlformats.org/officeDocument/2006/math" xmlns:v="urn:schemas-microsoft-com:vml" xmlns:wp14="http://schemas.microsoft.com/office/word/2010/wordprocessingDrawing" xmlns:wp="http://schemas.openxmlformats.org/drawingml/2006/wordprocessingDrawing" xmlns:w10="urn:schemas-microsoft-com:office:word" xmlns:w="http://schemas.openxmlformats.org/wordprocessingml/2006/main" xmlns:w14="http://schemas.microsoft.com/office/word/2010/wordml" xmlns:w15="http://schemas.microsoft.com/office/word/2012/wordml" xmlns:wpg="http://schemas.microsoft.com/office/word/2010/wordprocessingGroup" xmlns:wpi="http://schemas.microsoft.com/office/word/2010/wordprocessingInk" xmlns:wne="http://schemas.microsoft.com/office/word/2006/wordml" xmlns:wps="http://schemas.microsoft.com/office/word/2010/wordprocessingShape">
  <w:p>
    <w:pPr>
      <w:pBdr>
        <w:top w:val="single" w:color="9AA7AB" w:sz="4" w:space="4"/>
      </w:pBdr>
      <w:tabs>
        <w:tab w:val="right" w:pos="10080"/>
      </w:tabs>
    </w:pPr>
    <w:r>
      <w:rPr>
        <w:color w:val="5B6B70"/>
        <w:sz w:val="16"/>
        <w:szCs w:val="16"/>
      </w:rPr>
      <w:t xml:space="preserve">Water for Schools · waterforschools.org · Public domain (CC0)</w:t>
    </w:r>
    <w:r>
      <w:rPr>
        <w:color w:val="5B6B70"/>
        <w:sz w:val="16"/>
        <w:szCs w:val="16"/>
      </w:rPr>
      <w:t xml:space="preserve">	Page </w:t>
      <w:fldChar w:fldCharType="begin"/>
      <w:instrText xml:space="preserve">PAGE</w:instrText>
      <w:fldChar w:fldCharType="separate"/>
      <w:fldChar w:fldCharType="end"/>
    </w:r>
  </w:p>
</w:ftr>
</file>

<file path=word/footer2.xml><?xml version="1.0" encoding="utf-8"?>
<w:ftr xmlns:wpc="http://schemas.microsoft.com/office/word/2010/wordprocessingCanvas" xmlns:mc="http://schemas.openxmlformats.org/markup-compatibility/2006" xmlns:o="urn:schemas-microsoft-com:office:office" xmlns:r="http://schemas.openxmlformats.org/officeDocument/2006/relationships" xmlns:m="http://schemas.openxmlformats.org/officeDocument/2006/math" xmlns:v="urn:schemas-microsoft-com:vml" xmlns:wp14="http://schemas.microsoft.com/office/word/2010/wordprocessingDrawing" xmlns:wp="http://schemas.openxmlformats.org/drawingml/2006/wordprocessingDrawing" xmlns:w10="urn:schemas-microsoft-com:office:word" xmlns:w="http://schemas.openxmlformats.org/wordprocessingml/2006/main" xmlns:w14="http://schemas.microsoft.com/office/word/2010/wordml" xmlns:w15="http://schemas.microsoft.com/office/word/2012/wordml" xmlns:wpg="http://schemas.microsoft.com/office/word/2010/wordprocessingGroup" xmlns:wpi="http://schemas.microsoft.com/office/word/2010/wordprocessingInk" xmlns:wne="http://schemas.microsoft.com/office/word/2006/wordml" xmlns:wps="http://schemas.microsoft.com/office/word/2010/wordprocessingShape">
  <w:p>
    <w:pPr>
      <w:pBdr>
        <w:top w:val="single" w:color="9AA7AB" w:sz="4" w:space="4"/>
      </w:pBdr>
      <w:tabs>
        <w:tab w:val="right" w:pos="10080"/>
      </w:tabs>
    </w:pPr>
    <w:r>
      <w:rPr>
        <w:color w:val="5B6B70"/>
        <w:sz w:val="16"/>
        <w:szCs w:val="16"/>
      </w:rPr>
      <w:t xml:space="preserve">Water for Schools · waterforschools.org · Public domain (CC0)</w:t>
    </w:r>
    <w:r>
      <w:rPr>
        <w:color w:val="5B6B70"/>
        <w:sz w:val="16"/>
        <w:szCs w:val="16"/>
      </w:rPr>
      <w:t xml:space="preserve">	Page </w:t>
      <w:fldChar w:fldCharType="begin"/>
      <w:instrText xml:space="preserve">PAGE</w:instrText>
      <w:fldChar w:fldCharType="separate"/>
      <w:fldChar w:fldCharType="end"/>
    </w:r>
  </w:p>
</w:ftr>
</file>

<file path=word/footer3.xml><?xml version="1.0" encoding="utf-8"?>
<w:ftr xmlns:wpc="http://schemas.microsoft.com/office/word/2010/wordprocessingCanvas" xmlns:mc="http://schemas.openxmlformats.org/markup-compatibility/2006" xmlns:o="urn:schemas-microsoft-com:office:office" xmlns:r="http://schemas.openxmlformats.org/officeDocument/2006/relationships" xmlns:m="http://schemas.openxmlformats.org/officeDocument/2006/math" xmlns:v="urn:schemas-microsoft-com:vml" xmlns:wp14="http://schemas.microsoft.com/office/word/2010/wordprocessingDrawing" xmlns:wp="http://schemas.openxmlformats.org/drawingml/2006/wordprocessingDrawing" xmlns:w10="urn:schemas-microsoft-com:office:word" xmlns:w="http://schemas.openxmlformats.org/wordprocessingml/2006/main" xmlns:w14="http://schemas.microsoft.com/office/word/2010/wordml" xmlns:w15="http://schemas.microsoft.com/office/word/2012/wordml" xmlns:wpg="http://schemas.microsoft.com/office/word/2010/wordprocessingGroup" xmlns:wpi="http://schemas.microsoft.com/office/word/2010/wordprocessingInk" xmlns:wne="http://schemas.microsoft.com/office/word/2006/wordml" xmlns:wps="http://schemas.microsoft.com/office/word/2010/wordprocessingShape">
  <w:p>
    <w:pPr>
      <w:pBdr>
        <w:top w:val="single" w:color="9AA7AB" w:sz="4" w:space="4"/>
      </w:pBdr>
      <w:tabs>
        <w:tab w:val="right" w:pos="10080"/>
      </w:tabs>
    </w:pPr>
    <w:r>
      <w:rPr>
        <w:color w:val="5B6B70"/>
        <w:sz w:val="16"/>
        <w:szCs w:val="16"/>
      </w:rPr>
      <w:t xml:space="preserve">Water for Schools · waterforschools.org · Public domain (CC0)</w:t>
    </w:r>
    <w:r>
      <w:rPr>
        <w:color w:val="5B6B70"/>
        <w:sz w:val="16"/>
        <w:szCs w:val="16"/>
      </w:rPr>
      <w:t xml:space="preserve">	Page </w:t>
      <w:fldChar w:fldCharType="begin"/>
      <w:instrText xml:space="preserve">PAGE</w:instrText>
      <w:fldChar w:fldCharType="separate"/>
      <w:fldChar w:fldCharType="end"/>
    </w:r>
  </w:p>
</w:ftr>
</file>

<file path=word/footnotes.xml><?xml version="1.0" encoding="utf-8"?>
<w:footnotes xmlns:wpc="http://schemas.microsoft.com/office/word/2010/wordprocessingCanvas" xmlns:mc="http://schemas.openxmlformats.org/markup-compatibility/2006" xmlns:o="urn:schemas-microsoft-com:office:office" xmlns:r="http://schemas.openxmlformats.org/officeDocument/2006/relationships" xmlns:m="http://schemas.openxmlformats.org/officeDocument/2006/math" xmlns:v="urn:schemas-microsoft-com:vml" xmlns:wp14="http://schemas.microsoft.com/office/word/2010/wordprocessingDrawing" xmlns:wp="http://schemas.openxmlformats.org/drawingml/2006/wordprocessingDrawing" xmlns:w10="urn:schemas-microsoft-com:office:word" xmlns:w="http://schemas.openxmlformats.org/wordprocessingml/2006/main" xmlns:w14="http://schemas.microsoft.com/office/word/2010/wordml" xmlns:w15="http://schemas.microsoft.com/office/word/2012/wordml" xmlns:wpg="http://schemas.microsoft.com/office/word/2010/wordprocessingGroup" xmlns:wpi="http://schemas.microsoft.com/office/word/2010/wordprocessingInk" xmlns:wne="http://schemas.microsoft.com/office/word/2006/wordml" xmlns:wps="http://schemas.microsoft.com/office/word/2010/wordprocessingShape" mc:Ignorable="w14 w15 wp14">
  <w:footnote w:type="separator" w:id="-1">
    <w:p>
      <w:pPr>
        <w:spacing w:after="0" w:line="240" w:lineRule="auto"/>
      </w:pPr>
      <w:r>
        <w:rPr>
          <w:rStyle w:val="FootnoteReference"/>
        </w:rPr>
        <w:footnoteRef/>
      </w:r>
      <w:r>
        <w:separator/>
      </w:r>
    </w:p>
  </w:footnote>
  <w:footnote w:type="continuationSeparator" w:id="0">
    <w:p>
      <w:pPr>
        <w:spacing w:after="0" w:line="240" w:lineRule="auto"/>
      </w:pPr>
      <w:r>
        <w:rPr>
          <w:rStyle w:val="FootnoteReference"/>
        </w:rPr>
        <w:footnoteRef/>
      </w:r>
      <w:r>
        <w:continuationSeparator/>
      </w:r>
    </w:p>
  </w:footnote>
</w:footnotes>
</file>

<file path=word/numbering.xml><?xml version="1.0" encoding="utf-8"?>
<w:numbering xmlns:wpc="http://schemas.microsoft.com/office/word/2010/wordprocessingCanvas" xmlns:mc="http://schemas.openxmlformats.org/markup-compatibility/2006" xmlns:o="urn:schemas-microsoft-com:office:office" xmlns:r="http://schemas.openxmlformats.org/officeDocument/2006/relationships" xmlns:m="http://schemas.openxmlformats.org/officeDocument/2006/math" xmlns:v="urn:schemas-microsoft-com:vml" xmlns:wp14="http://schemas.microsoft.com/office/word/2010/wordprocessingDrawing" xmlns:wp="http://schemas.openxmlformats.org/drawingml/2006/wordprocessingDrawing" xmlns:w10="urn:schemas-microsoft-com:office:word" xmlns:w="http://schemas.openxmlformats.org/wordprocessingml/2006/main" xmlns:w14="http://schemas.microsoft.com/office/word/2010/wordml" xmlns:w15="http://schemas.microsoft.com/office/word/2012/wordml" xmlns:wpg="http://schemas.microsoft.com/office/word/2010/wordprocessingGroup" xmlns:wpi="http://schemas.microsoft.com/office/word/2010/wordprocessingInk" xmlns:wne="http://schemas.microsoft.com/office/word/2006/wordml" xmlns:wps="http://schemas.microsoft.com/office/word/2010/wordprocessingShape" mc:Ignorable="w14 w15 wp14">
  <w:abstractNum w:abstractNumId="1" w15:restartNumberingAfterBreak="0">
    <w:multiLevelType w:val="hybridMultilevel"/>
    <w:lvl w:ilvl="0" w:tentative="1">
      <w:start w:val="1"/>
      <w:numFmt w:val="bullet"/>
      <w:lvlText w:val="●"/>
      <w:lvlJc w:val="left"/>
      <w:pPr>
        <w:ind w:left="720" w:hanging="360"/>
      </w:pPr>
    </w:lvl>
    <w:lvl w:ilvl="1" w:tentative="1">
      <w:start w:val="1"/>
      <w:numFmt w:val="bullet"/>
      <w:lvlText w:val="○"/>
      <w:lvlJc w:val="left"/>
      <w:pPr>
        <w:ind w:left="1440" w:hanging="360"/>
      </w:pPr>
    </w:lvl>
    <w:lvl w:ilvl="2" w:tentative="1">
      <w:start w:val="1"/>
      <w:numFmt w:val="bullet"/>
      <w:lvlText w:val="■"/>
      <w:lvlJc w:val="left"/>
      <w:pPr>
        <w:ind w:left="2160" w:hanging="360"/>
      </w:pPr>
    </w:lvl>
    <w:lvl w:ilvl="3" w:tentative="1">
      <w:start w:val="1"/>
      <w:numFmt w:val="bullet"/>
      <w:lvlText w:val="●"/>
      <w:lvlJc w:val="left"/>
      <w:pPr>
        <w:ind w:left="2880" w:hanging="360"/>
      </w:pPr>
    </w:lvl>
    <w:lvl w:ilvl="4" w:tentative="1">
      <w:start w:val="1"/>
      <w:numFmt w:val="bullet"/>
      <w:lvlText w:val="○"/>
      <w:lvlJc w:val="left"/>
      <w:pPr>
        <w:ind w:left="3600" w:hanging="360"/>
      </w:pPr>
    </w:lvl>
    <w:lvl w:ilvl="5" w:tentative="1">
      <w:start w:val="1"/>
      <w:numFmt w:val="bullet"/>
      <w:lvlText w:val="■"/>
      <w:lvlJc w:val="left"/>
      <w:pPr>
        <w:ind w:left="4320" w:hanging="360"/>
      </w:pPr>
    </w:lvl>
    <w:lvl w:ilvl="6" w:tentative="1">
      <w:start w:val="1"/>
      <w:numFmt w:val="bullet"/>
      <w:lvlText w:val="●"/>
      <w:lvlJc w:val="left"/>
      <w:pPr>
        <w:ind w:left="5040" w:hanging="360"/>
      </w:pPr>
    </w:lvl>
    <w:lvl w:ilvl="7" w:tentative="1">
      <w:start w:val="1"/>
      <w:numFmt w:val="bullet"/>
      <w:lvlText w:val="●"/>
      <w:lvlJc w:val="left"/>
      <w:pPr>
        <w:ind w:left="5760" w:hanging="360"/>
      </w:pPr>
    </w:lvl>
    <w:lvl w:ilvl="8" w:tentative="1">
      <w:start w:val="1"/>
      <w:numFmt w:val="bullet"/>
      <w:lvlText w:val="●"/>
      <w:lvlJc w:val="left"/>
      <w:pPr>
        <w:ind w:left="6480" w:hanging="360"/>
      </w:pPr>
    </w:lvl>
  </w:abstractNum>
  <w:abstractNum w:abstractNumId="2" w15:restartNumberingAfterBreak="0">
    <w:multiLevelType w:val="hybridMultilevel"/>
    <w:lvl w:ilvl="0" w:tentative="1">
      <w:start w:val="1"/>
      <w:numFmt w:val="decimal"/>
      <w:lvlText w:val="%1."/>
      <w:lvlJc w:val="left"/>
      <w:pPr>
        <w:ind w:left="720" w:hanging="360"/>
      </w:pPr>
      <w:rPr>
        <w:sz w:val="22"/>
        <w:szCs w:val="22"/>
      </w:rPr>
    </w:lvl>
  </w:abstractNum>
  <w:abstractNum w:abstractNumId="3" w15:restartNumberingAfterBreak="0">
    <w:multiLevelType w:val="hybridMultilevel"/>
    <w:lvl w:ilvl="0" w:tentative="1">
      <w:start w:val="1"/>
      <w:numFmt w:val="decimal"/>
      <w:lvlText w:val="%1."/>
      <w:lvlJc w:val="left"/>
      <w:pPr>
        <w:ind w:left="720" w:hanging="360"/>
      </w:pPr>
      <w:rPr>
        <w:sz w:val="24"/>
        <w:szCs w:val="24"/>
      </w:rPr>
    </w:lvl>
  </w:abstractNum>
  <w:num w:numId="1">
    <w:abstractNumId w:val="1"/>
    <w:lvlOverride w:ilvl="0">
      <w:startOverride w:val="1"/>
    </w:lvlOverride>
  </w:num>
  <w:num w:numId="2">
    <w:abstractNumId w:val="2"/>
    <w:lvlOverride w:ilvl="0">
      <w:startOverride w:val="1"/>
    </w:lvlOverride>
  </w:num>
  <w:num w:numId="3">
    <w:abstractNumId w:val="3"/>
    <w:lvlOverride w:ilvl="0">
      <w:startOverride w:val="1"/>
    </w:lvlOverride>
  </w:num>
  <w:num w:numId="4">
    <w:abstractNumId w:val="2"/>
    <w:lvlOverride w:ilvl="0">
      <w:startOverride w:val="1"/>
    </w:lvlOverride>
  </w:num>
</w:numbering>
</file>

<file path=word/settings.xml><?xml version="1.0" encoding="utf-8"?>
<w:settings xmlns:wpc="http://schemas.microsoft.com/office/word/2010/wordprocessingCanvas" xmlns:mc="http://schemas.openxmlformats.org/markup-compatibility/2006" xmlns:o="urn:schemas-microsoft-com:office:office" xmlns:r="http://schemas.openxmlformats.org/officeDocument/2006/relationships" xmlns:m="http://schemas.openxmlformats.org/officeDocument/2006/math" xmlns:v="urn:schemas-microsoft-com:vml" xmlns:wp14="http://schemas.microsoft.com/office/word/2010/wordprocessingDrawing" xmlns:wp="http://schemas.openxmlformats.org/drawingml/2006/wordprocessingDrawing" xmlns:w10="urn:schemas-microsoft-com:office:word" xmlns:w="http://schemas.openxmlformats.org/wordprocessingml/2006/main" xmlns:w14="http://schemas.microsoft.com/office/word/2010/wordml" xmlns:w15="http://schemas.microsoft.com/office/word/2012/wordml" xmlns:wpg="http://schemas.microsoft.com/office/word/2010/wordprocessingGroup" xmlns:wpi="http://schemas.microsoft.com/office/word/2010/wordprocessingInk" xmlns:wne="http://schemas.microsoft.com/office/word/2006/wordml" xmlns:wps="http://schemas.microsoft.com/office/word/2010/wordprocessingShape" mc:Ignorable="w14 w15 wp14">
  <w:displayBackgroundShape/>
  <w:evenAndOddHeaders w:val="false"/>
  <w:compat>
    <w:compatSetting w:val="15" w:name="compatibilityMode" w:uri="http://schemas.microsoft.com/office/word"/>
  </w:compat>
</w:settings>
</file>

<file path=word/styles.xml><?xml version="1.0" encoding="utf-8"?>
<w:styles xmlns:mc="http://schemas.openxmlformats.org/markup-compatibility/2006" xmlns:r="http://schemas.openxmlformats.org/officeDocument/2006/relationships" xmlns:w="http://schemas.openxmlformats.org/wordprocessingml/2006/main" xmlns:w14="http://schemas.microsoft.com/office/word/2010/wordml" xmlns:w15="http://schemas.microsoft.com/office/word/2012/wordml" mc:Ignorable="w14 w15">
  <w:docDefaults>
    <w:rPrDefault>
      <w:rPr>
        <w:rFonts w:ascii="Calibri" w:cs="Calibri" w:eastAsia="Calibri" w:hAnsi="Calibri"/>
        <w:color w:val="1F2A2E"/>
        <w:sz w:val="22"/>
        <w:szCs w:val="22"/>
      </w:rPr>
    </w:rPrDefault>
    <w:pPrDefault>
      <w:pPr>
        <w:spacing w:after="120" w:line="276"/>
      </w:pPr>
    </w:pPrDefault>
  </w:docDefaults>
  <w:style w:type="paragraph" w:styleId="Normal" w:default="1">
    <w:name w:val="Normal"/>
    <w:qFormat/>
  </w:style>
  <w:style w:type="paragraph" w:styleId="Title">
    <w:name w:val="Title"/>
    <w:basedOn w:val="Normal"/>
    <w:next w:val="Normal"/>
    <w:qFormat/>
    <w:rPr>
      <w:sz w:val="56"/>
      <w:szCs w:val="56"/>
    </w:rPr>
  </w:style>
  <w:style w:type="paragraph" w:styleId="Heading1">
    <w:name w:val="Heading 1"/>
    <w:basedOn w:val="Normal"/>
    <w:next w:val="Normal"/>
    <w:qFormat/>
    <w:pPr>
      <w:keepNext/>
      <w:spacing w:after="80" w:before="0"/>
    </w:pPr>
    <w:rPr>
      <w:rFonts w:ascii="Georgia" w:cs="Georgia" w:eastAsia="Georgia" w:hAnsi="Georgia"/>
      <w:b/>
      <w:bCs/>
      <w:color w:val="12333F"/>
      <w:sz w:val="40"/>
      <w:szCs w:val="40"/>
    </w:rPr>
  </w:style>
  <w:style w:type="paragraph" w:styleId="Heading2">
    <w:name w:val="Heading 2"/>
    <w:basedOn w:val="Normal"/>
    <w:next w:val="Normal"/>
    <w:qFormat/>
    <w:pPr>
      <w:keepNext/>
      <w:pBdr>
        <w:bottom w:val="single" w:color="E2EDED" w:sz="4" w:space="2"/>
      </w:pBdr>
      <w:spacing w:after="120" w:before="280"/>
    </w:pPr>
    <w:rPr>
      <w:rFonts w:ascii="Georgia" w:cs="Georgia" w:eastAsia="Georgia" w:hAnsi="Georgia"/>
      <w:b/>
      <w:bCs/>
      <w:color w:val="17606A"/>
      <w:sz w:val="28"/>
      <w:szCs w:val="28"/>
    </w:rPr>
  </w:style>
  <w:style w:type="paragraph" w:styleId="Heading3">
    <w:name w:val="Heading 3"/>
    <w:basedOn w:val="Normal"/>
    <w:next w:val="Normal"/>
    <w:qFormat/>
    <w:pPr>
      <w:keepNext/>
      <w:spacing w:after="80" w:before="200"/>
    </w:pPr>
    <w:rPr>
      <w:rFonts w:ascii="Georgia" w:cs="Georgia" w:eastAsia="Georgia" w:hAnsi="Georgia"/>
      <w:b/>
      <w:bCs/>
      <w:color w:val="12333F"/>
      <w:sz w:val="24"/>
      <w:szCs w:val="24"/>
    </w:rPr>
  </w:style>
  <w:style w:type="paragraph" w:styleId="Heading4">
    <w:name w:val="Heading 4"/>
    <w:basedOn w:val="Normal"/>
    <w:next w:val="Normal"/>
    <w:qFormat/>
    <w:pPr>
      <w:keepNext/>
      <w:spacing w:after="60" w:before="160"/>
    </w:pPr>
    <w:rPr>
      <w:rFonts w:ascii="Calibri" w:cs="Calibri" w:eastAsia="Calibri" w:hAnsi="Calibri"/>
      <w:b/>
      <w:bCs/>
      <w:color w:val="12333F"/>
      <w:sz w:val="22"/>
      <w:szCs w:val="22"/>
    </w:rPr>
  </w:style>
  <w:style w:type="paragraph" w:styleId="Heading5">
    <w:name w:val="Heading 5"/>
    <w:basedOn w:val="Normal"/>
    <w:next w:val="Normal"/>
    <w:qFormat/>
    <w:rPr>
      <w:color w:val="2E74B5"/>
    </w:rPr>
  </w:style>
  <w:style w:type="paragraph" w:styleId="Heading6">
    <w:name w:val="Heading 6"/>
    <w:basedOn w:val="Normal"/>
    <w:next w:val="Normal"/>
    <w:qFormat/>
    <w:rPr>
      <w:color w:val="1F4D78"/>
    </w:rPr>
  </w:style>
  <w:style w:type="paragraph" w:styleId="Strong">
    <w:name w:val="Strong"/>
    <w:basedOn w:val="Normal"/>
    <w:next w:val="Normal"/>
    <w:qFormat/>
    <w:rPr>
      <w:b/>
      <w:bCs/>
    </w:rPr>
  </w:style>
  <w:style w:type="paragraph" w:styleId="ListParagraph">
    <w:name w:val="List Paragraph"/>
    <w:basedOn w:val="Normal"/>
    <w:qFormat/>
  </w:style>
  <w:style w:type="character" w:styleId="Hyperlink">
    <w:name w:val="Hyperlink"/>
    <w:basedOn w:val="DefaultParagraphFont"/>
    <w:uiPriority w:val="99"/>
    <w:unhideWhenUsed/>
    <w:rPr>
      <w:color w:val="0563C1"/>
      <w:u w:val="single"/>
    </w:rPr>
  </w:style>
  <w:style w:type="character" w:styleId="FootnoteReference">
    <w:name w:val="footnote reference"/>
    <w:basedOn w:val="DefaultParagraphFont"/>
    <w:uiPriority w:val="99"/>
    <w:semiHidden/>
    <w:unhideWhenUsed/>
    <w:rPr>
      <w:vertAlign w:val="superscript"/>
    </w:rPr>
  </w:style>
  <w:style w:type="paragraph" w:styleId="FootnoteText">
    <w:name w:val="footnote text"/>
    <w:basedOn w:val="Normal"/>
    <w:link w:val="FootnoteTextChar"/>
    <w:uiPriority w:val="99"/>
    <w:semiHidden/>
    <w:unhideWhenUsed/>
    <w:pPr>
      <w:spacing w:after="0" w:line="240" w:lineRule="auto"/>
    </w:pPr>
    <w:rPr>
      <w:sz w:val="20"/>
      <w:szCs w:val="20"/>
    </w:rPr>
  </w:style>
  <w:style w:type="character" w:styleId="FootnoteTextChar">
    <w:name w:val="Footnote Text Char"/>
    <w:basedOn w:val="DefaultParagraphFont"/>
    <w:link w:val="FootnoteText"/>
    <w:uiPriority w:val="99"/>
    <w:semiHidden/>
    <w:unhideWhenUsed/>
    <w:rPr>
      <w:sz w:val="20"/>
      <w:szCs w:val="20"/>
    </w:rPr>
  </w:style>
  <w:style w:type="character" w:styleId="EndnoteReference">
    <w:name w:val="endnote reference"/>
    <w:basedOn w:val="DefaultParagraphFont"/>
    <w:uiPriority w:val="99"/>
    <w:semiHidden/>
    <w:unhideWhenUsed/>
    <w:rPr>
      <w:vertAlign w:val="superscript"/>
    </w:rPr>
  </w:style>
  <w:style w:type="paragraph" w:styleId="EndnoteText">
    <w:name w:val="endnote text"/>
    <w:basedOn w:val="Normal"/>
    <w:link w:val="EndnoteTextChar"/>
    <w:uiPriority w:val="99"/>
    <w:semiHidden/>
    <w:unhideWhenUsed/>
    <w:pPr>
      <w:spacing w:after="0" w:line="240" w:lineRule="auto"/>
    </w:pPr>
    <w:rPr>
      <w:sz w:val="20"/>
      <w:szCs w:val="20"/>
    </w:rPr>
  </w:style>
  <w:style w:type="character" w:styleId="EndnoteTextChar">
    <w:name w:val="Endnote Text Char"/>
    <w:basedOn w:val="DefaultParagraphFont"/>
    <w:link w:val="EndnoteText"/>
    <w:uiPriority w:val="99"/>
    <w:semiHidden/>
    <w:unhideWhenUsed/>
    <w:rPr>
      <w:sz w:val="20"/>
      <w:szCs w:val="20"/>
    </w:rPr>
  </w:style>
</w:styles>
</file>

<file path=word/_rels/document.xml.rels><?xml version="1.0" encoding="UTF-8"?><Relationships xmlns="http://schemas.openxmlformats.org/package/2006/relationships"><Relationship Id="rId1" Type="http://schemas.openxmlformats.org/officeDocument/2006/relationships/styles" Target="styles.xml"/><Relationship Id="rId2" Type="http://schemas.openxmlformats.org/officeDocument/2006/relationships/numbering" Target="numbering.xml"/><Relationship Id="rId3" Type="http://schemas.openxmlformats.org/officeDocument/2006/relationships/footnotes" Target="footnotes.xml"/><Relationship Id="rId4" Type="http://schemas.openxmlformats.org/officeDocument/2006/relationships/endnotes" Target="endnotes.xml"/><Relationship Id="rId5" Type="http://schemas.openxmlformats.org/officeDocument/2006/relationships/settings" Target="settings.xml"/><Relationship Id="rId6" Type="http://schemas.openxmlformats.org/officeDocument/2006/relationships/footer" Target="footer1.xml"/><Relationship Id="rId7" Type="http://schemas.openxmlformats.org/officeDocument/2006/relationships/footer" Target="footer2.xml"/><Relationship Id="rId8" Type="http://schemas.openxmlformats.org/officeDocument/2006/relationships/footer" Target="footer3.xml"/><Relationship Id="rId9" Type="http://schemas.openxmlformats.org/officeDocument/2006/relationships/theme" Target="theme/theme1.xml"/><Relationship Id="rId10" Type="http://schemas.openxmlformats.org/officeDocument/2006/relationships/fontTable" Target="fontTable.xml"/></Relationships>
</file>

<file path=word/_rels/endnotes.xml.rels><?xml version="1.0" encoding="UTF-8"?><Relationships xmlns="http://schemas.openxmlformats.org/package/2006/relationships"/>
</file>

<file path=word/_rels/fontTable.xml.rels><?xml version="1.0" encoding="UTF-8"?><Relationships xmlns="http://schemas.openxmlformats.org/package/2006/relationships"/>
</file>

<file path=word/_rels/footer1.xml.rels><?xml version="1.0" encoding="UTF-8"?><Relationships xmlns="http://schemas.openxmlformats.org/package/2006/relationships"/>
</file>

<file path=word/_rels/footer2.xml.rels><?xml version="1.0" encoding="UTF-8"?><Relationships xmlns="http://schemas.openxmlformats.org/package/2006/relationships"/>
</file>

<file path=word/_rels/footer3.xml.rels><?xml version="1.0" encoding="UTF-8"?><Relationships xmlns="http://schemas.openxmlformats.org/package/2006/relationships"/>
</file>

<file path=word/_rels/footnotes.xml.rels><?xml version="1.0" encoding="UTF-8"?><Relationships xmlns="http://schemas.openxmlformats.org/package/2006/relationships"/>
</file>

<file path=word/theme/theme1.xml><?xml version="1.0" encoding="utf-8"?>
<a:theme xmlns:a="http://schemas.openxmlformats.org/drawingml/2006/main" name="Office Theme">
  <a:themeElements>
    <a:clrScheme name="Office">
      <a:dk1>
        <a:sysClr val="windowText" lastClr="000000"/>
      </a:dk1>
      <a:lt1>
        <a:sysClr val="window" lastClr="FFFFFF"/>
      </a:lt1>
      <a:dk2>
        <a:srgbClr val="44546A"/>
      </a:dk2>
      <a:lt2>
        <a:srgbClr val="E7E6E6"/>
      </a:lt2>
      <a:accent1>
        <a:srgbClr val="4472C4"/>
      </a:accent1>
      <a:accent2>
        <a:srgbClr val="ED7D31"/>
      </a:accent2>
      <a:accent3>
        <a:srgbClr val="A5A5A5"/>
      </a:accent3>
      <a:accent4>
        <a:srgbClr val="FFC000"/>
      </a:accent4>
      <a:accent5>
        <a:srgbClr val="5B9BD5"/>
      </a:accent5>
      <a:accent6>
        <a:srgbClr val="70AD47"/>
      </a:accent6>
      <a:hlink>
        <a:srgbClr val="0563C1"/>
      </a:hlink>
      <a:folHlink>
        <a:srgbClr val="954F72"/>
      </a:folHlink>
    </a:clrScheme>
    <a:fontScheme name="Office">
      <a:majorFont>
        <a:latin typeface="Calibri Light" panose="020F0302020204030204"/>
        <a:ea typeface=""/>
        <a:cs typeface=""/>
        <a:font script="Jpan" typeface="游ゴシック Light"/>
        <a:font script="Hang" typeface="맑은 고딕"/>
        <a:font script="Hans" typeface="等线 Light"/>
        <a:font script="Hant" typeface="新細明體"/>
        <a:font script="Arab" typeface="Times New Roman"/>
        <a:font script="Hebr" typeface="Times New Roman"/>
        <a:font script="Thai" typeface="Angsana New"/>
        <a:font script="Ethi" typeface="Nyala"/>
        <a:font script="Beng" typeface="Vrinda"/>
        <a:font script="Gujr" typeface="Shruti"/>
        <a:font script="Khmr" typeface="MoolBoran"/>
        <a:font script="Knda" typeface="Tunga"/>
        <a:font script="Guru" typeface="Raavi"/>
        <a:font script="Cans" typeface="Euphemia"/>
        <a:font script="Cher" typeface="Plantagenet Cherokee"/>
        <a:font script="Yiii" typeface="Microsoft Yi Baiti"/>
        <a:font script="Tibt" typeface="Microsoft Himalaya"/>
        <a:font script="Thaa" typeface="MV Boli"/>
        <a:font script="Deva" typeface="Mangal"/>
        <a:font script="Telu" typeface="Gautami"/>
        <a:font script="Taml" typeface="Latha"/>
        <a:font script="Syrc" typeface="Estrangelo Edessa"/>
        <a:font script="Orya" typeface="Kalinga"/>
        <a:font script="Mlym" typeface="Kartika"/>
        <a:font script="Laoo" typeface="DokChampa"/>
        <a:font script="Sinh" typeface="Iskoola Pota"/>
        <a:font script="Mong" typeface="Mongolian Baiti"/>
        <a:font script="Viet" typeface="Times New Roman"/>
        <a:font script="Uigh" typeface="Microsoft Uighur"/>
        <a:font script="Geor" typeface="Sylfaen"/>
        <a:font script="Armn" typeface="Arial"/>
        <a:font script="Bugi" typeface="Leelawadee UI"/>
        <a:font script="Bopo" typeface="Microsoft JhengHei"/>
        <a:font script="Java" typeface="Javanese Text"/>
        <a:font script="Lisu" typeface="Segoe UI"/>
        <a:font script="Mymr" typeface="Myanmar Text"/>
        <a:font script="Nkoo" typeface="Ebrima"/>
        <a:font script="Olck" typeface="Nirmala UI"/>
        <a:font script="Osma" typeface="Ebrima"/>
        <a:font script="Phag" typeface="Phagspa"/>
        <a:font script="Syrn" typeface="Estrangelo Edessa"/>
        <a:font script="Syrj" typeface="Estrangelo Edessa"/>
        <a:font script="Syre" typeface="Estrangelo Edessa"/>
        <a:font script="Sora" typeface="Nirmala UI"/>
        <a:font script="Tale" typeface="Microsoft Tai Le"/>
        <a:font script="Talu" typeface="Microsoft New Tai Lue"/>
        <a:font script="Tfng" typeface="Ebrima"/>
      </a:majorFont>
      <a:minorFont>
        <a:latin typeface="Calibri" panose="020F0502020204030204"/>
        <a:ea typeface=""/>
        <a:cs typeface=""/>
        <a:font script="Jpan" typeface="游明朝"/>
        <a:font script="Hang" typeface="맑은 고딕"/>
        <a:font script="Hans" typeface="等线"/>
        <a:font script="Hant" typeface="新細明體"/>
        <a:font script="Arab" typeface="Arial"/>
        <a:font script="Hebr" typeface="Arial"/>
        <a:font script="Thai" typeface="Cordia New"/>
        <a:font script="Ethi" typeface="Nyala"/>
        <a:font script="Beng" typeface="Vrinda"/>
        <a:font script="Gujr" typeface="Shruti"/>
        <a:font script="Khmr" typeface="DaunPenh"/>
        <a:font script="Knda" typeface="Tunga"/>
        <a:font script="Guru" typeface="Raavi"/>
        <a:font script="Cans" typeface="Euphemia"/>
        <a:font script="Cher" typeface="Plantagenet Cherokee"/>
        <a:font script="Yiii" typeface="Microsoft Yi Baiti"/>
        <a:font script="Tibt" typeface="Microsoft Himalaya"/>
        <a:font script="Thaa" typeface="MV Boli"/>
        <a:font script="Deva" typeface="Mangal"/>
        <a:font script="Telu" typeface="Gautami"/>
        <a:font script="Taml" typeface="Latha"/>
        <a:font script="Syrc" typeface="Estrangelo Edessa"/>
        <a:font script="Orya" typeface="Kalinga"/>
        <a:font script="Mlym" typeface="Kartika"/>
        <a:font script="Laoo" typeface="DokChampa"/>
        <a:font script="Sinh" typeface="Iskoola Pota"/>
        <a:font script="Mong" typeface="Mongolian Baiti"/>
        <a:font script="Viet" typeface="Arial"/>
        <a:font script="Uigh" typeface="Microsoft Uighur"/>
        <a:font script="Geor" typeface="Sylfaen"/>
        <a:font script="Armn" typeface="Arial"/>
        <a:font script="Bugi" typeface="Leelawadee UI"/>
        <a:font script="Bopo" typeface="Microsoft JhengHei"/>
        <a:font script="Java" typeface="Javanese Text"/>
        <a:font script="Lisu" typeface="Segoe UI"/>
        <a:font script="Mymr" typeface="Myanmar Text"/>
        <a:font script="Nkoo" typeface="Ebrima"/>
        <a:font script="Olck" typeface="Nirmala UI"/>
        <a:font script="Osma" typeface="Ebrima"/>
        <a:font script="Phag" typeface="Phagspa"/>
        <a:font script="Syrn" typeface="Estrangelo Edessa"/>
        <a:font script="Syrj" typeface="Estrangelo Edessa"/>
        <a:font script="Syre" typeface="Estrangelo Edessa"/>
        <a:font script="Sora" typeface="Nirmala UI"/>
        <a:font script="Tale" typeface="Microsoft Tai Le"/>
        <a:font script="Talu" typeface="Microsoft New Tai Lue"/>
        <a:font script="Tfng" typeface="Ebrima"/>
      </a:minorFont>
    </a:fontScheme>
    <a:fmtScheme name="Office">
      <a:fillStyleLst>
        <a:solidFill>
          <a:schemeClr val="phClr"/>
        </a:solidFill>
        <a:gradFill rotWithShape="true">
          <a:gsLst>
            <a:gs pos="0">
              <a:schemeClr val="phClr">
                <a:lumMod val="110000"/>
                <a:satMod val="105000"/>
                <a:tint val="67000"/>
              </a:schemeClr>
            </a:gs>
            <a:gs pos="50000">
              <a:schemeClr val="phClr">
                <a:lumMod val="105000"/>
                <a:satMod val="103000"/>
                <a:tint val="73000"/>
              </a:schemeClr>
            </a:gs>
            <a:gs pos="100000">
              <a:schemeClr val="phClr">
                <a:lumMod val="105000"/>
                <a:satMod val="109000"/>
                <a:tint val="81000"/>
              </a:schemeClr>
            </a:gs>
          </a:gsLst>
          <a:lin ang="5400000" scaled="false"/>
        </a:gradFill>
        <a:gradFill rotWithShape="true">
          <a:gsLst>
            <a:gs pos="0">
              <a:schemeClr val="phClr">
                <a:satMod val="103000"/>
                <a:lumMod val="102000"/>
                <a:tint val="94000"/>
              </a:schemeClr>
            </a:gs>
            <a:gs pos="50000">
              <a:schemeClr val="phClr">
                <a:satMod val="110000"/>
                <a:lumMod val="100000"/>
                <a:shade val="100000"/>
              </a:schemeClr>
            </a:gs>
            <a:gs pos="100000">
              <a:schemeClr val="phClr">
                <a:lumMod val="99000"/>
                <a:satMod val="120000"/>
                <a:shade val="78000"/>
              </a:schemeClr>
            </a:gs>
          </a:gsLst>
          <a:lin ang="5400000" scaled="false"/>
        </a:gradFill>
      </a:fillStyleLst>
      <a:lnStyleLst>
        <a:ln w="6350" cap="flat" cmpd="sng" algn="ctr">
          <a:solidFill>
            <a:schemeClr val="phClr"/>
          </a:solidFill>
          <a:prstDash val="solid"/>
          <a:miter lim="800000"/>
        </a:ln>
        <a:ln w="12700" cap="flat" cmpd="sng" algn="ctr">
          <a:solidFill>
            <a:schemeClr val="phClr"/>
          </a:solidFill>
          <a:prstDash val="solid"/>
          <a:miter lim="800000"/>
        </a:ln>
        <a:ln w="19050" cap="flat" cmpd="sng" algn="ctr">
          <a:solidFill>
            <a:schemeClr val="phClr"/>
          </a:solidFill>
          <a:prstDash val="solid"/>
          <a:miter lim="800000"/>
        </a:ln>
      </a:lnStyleLst>
      <a:effectStyleLst>
        <a:effectStyle>
          <a:effectLst/>
        </a:effectStyle>
        <a:effectStyle>
          <a:effectLst/>
        </a:effectStyle>
        <a:effectStyle>
          <a:effectLst>
            <a:outerShdw blurRad="57150" dist="19050" dir="5400000" algn="ctr" rotWithShape="false">
              <a:srgbClr val="000000">
                <a:alpha val="63000"/>
              </a:srgbClr>
            </a:outerShdw>
          </a:effectLst>
        </a:effectStyle>
      </a:effectStyleLst>
      <a:bgFillStyleLst>
        <a:solidFill>
          <a:schemeClr val="phClr"/>
        </a:solidFill>
        <a:solidFill>
          <a:schemeClr val="phClr">
            <a:tint val="95000"/>
            <a:satMod val="170000"/>
          </a:schemeClr>
        </a:solidFill>
        <a:gradFill rotWithShape="true">
          <a:gsLst>
            <a:gs pos="0">
              <a:schemeClr val="phClr">
                <a:tint val="93000"/>
                <a:satMod val="150000"/>
                <a:shade val="98000"/>
                <a:lumMod val="102000"/>
              </a:schemeClr>
            </a:gs>
            <a:gs pos="50000">
              <a:schemeClr val="phClr">
                <a:tint val="98000"/>
                <a:satMod val="130000"/>
                <a:shade val="90000"/>
                <a:lumMod val="103000"/>
              </a:schemeClr>
            </a:gs>
            <a:gs pos="100000">
              <a:schemeClr val="phClr">
                <a:shade val="63000"/>
                <a:satMod val="120000"/>
              </a:schemeClr>
            </a:gs>
          </a:gsLst>
          <a:lin ang="5400000" scaled="false"/>
        </a:gradFill>
      </a:bgFillStyleLst>
    </a:fmtScheme>
  </a:themeElements>
  <a:objectDefaults/>
  <a:extraClrSchemeLst/>
</a:theme>
</file>

<file path=docProps/app.xml><?xml version="1.0" encoding="utf-8"?>
<Properties xmlns="http://schemas.openxmlformats.org/officeDocument/2006/extended-properties" xmlns:vt="http://schemas.openxmlformats.org/officeDocument/2006/docPropsVTypes"/>
</file>

<file path=docProps/core.xml><?xml version="1.0" encoding="utf-8"?>
<cp:coreProperties xmlns:cp="http://schemas.openxmlformats.org/package/2006/metadata/core-properties" xmlns:dc="http://purl.org/dc/elements/1.1/" xmlns:dcterms="http://purl.org/dc/terms/" xmlns:dcmitype="http://purl.org/dc/dcmitype/" xmlns:xsi="http://www.w3.org/2001/XMLSchema-instance">
  <dc:title>Skipjack Pond Dip Net Cards: A Grade 3 Line Plot Activity</dc:title>
  <dc:subject>Classroom activity · Grade 3 · Math</dc:subject>
  <dc:creator>Water for Schools</dc:creator>
  <cp:keywords>Classroom activity, Grade 3, Math</cp:keywords>
  <dc:description>A 40-minute grade 3 activity where groups measure twelve paper creature cards from a fictional pond survey to the nearest half inch and build a floor line plot.</dc:description>
  <cp:lastModifiedBy>Water for Schools</cp:lastModifiedBy>
  <cp:revision>1</cp:revision>
  <dcterms:created xsi:type="dcterms:W3CDTF">2026-10-19T16:29:12.523Z</dcterms:created>
  <dcterms:modified xsi:type="dcterms:W3CDTF">2026-10-19T16:29:12.523Z</dcterms:modified>
</cp:coreProperties>
</file>

<file path=docProps/custom.xml><?xml version="1.0" encoding="utf-8"?>
<Properties xmlns="http://schemas.openxmlformats.org/officeDocument/2006/custom-properties" xmlns:vt="http://schemas.openxmlformats.org/officeDocument/2006/docPropsVTypes"/>
</file>