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Ostlin's Drought Plan: A Spreadsheet Water Budget</w:t>
      </w:r>
    </w:p>
    <w:p>
      <w:pPr>
        <w:keepNext/>
        <w:spacing w:after="160"/>
      </w:pPr>
      <w:r>
        <w:rPr>
          <w:color w:val="5B6B70"/>
          <w:sz w:val="20"/>
          <w:szCs w:val="20"/>
        </w:rPr>
        <w:t xml:space="preserve">Project · Grade 10 · Science</w:t>
      </w:r>
    </w:p>
    <w:p>
      <w:pPr>
        <w:spacing w:after="100" w:line="264"/>
      </w:pPr>
      <w:r>
        <w:rPr>
          <w:i/>
          <w:iCs/>
          <w:color w:val="12333F"/>
          <w:sz w:val="22"/>
          <w:szCs w:val="22"/>
        </w:rPr>
        <w:t xml:space="preserve">A five-session grade 10 project where teams build a monthly spreadsheet water budget for a growing town, stress-test it, and choose a 15-year drought plan.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Spreadsheet software, or graph paper and calculators</w:t>
            </w:r>
          </w:p>
          <w:p>
            <w:pPr>
              <w:spacing w:after="0"/>
            </w:pPr>
            <w:r>
              <w:rPr>
                <w:sz w:val="20"/>
                <w:szCs w:val="20"/>
              </w:rPr>
              <w:t xml:space="preserve">• Printed baseline data table and model rules from the Project Brief</w:t>
            </w:r>
          </w:p>
          <w:p>
            <w:pPr>
              <w:spacing w:after="0"/>
            </w:pPr>
            <w:r>
              <w:rPr>
                <w:sz w:val="20"/>
                <w:szCs w:val="20"/>
              </w:rPr>
              <w:t xml:space="preserve">• Printed measure price sheet from the Project Brief</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monthly water budget that tracks reservoir storage as river supply and town demand change through the year.</w:t>
      </w:r>
    </w:p>
    <w:p>
      <w:pPr>
        <w:pStyle w:val="ListParagraph"/>
        <w:keepNext/>
        <w:keepLines/>
        <w:numPr>
          <w:ilvl w:val="0"/>
          <w:numId w:val="2"/>
        </w:numPr>
        <w:spacing w:after="60" w:line="264"/>
        <w:ind w:left="720" w:hanging="360"/>
      </w:pPr>
      <w:r>
        <w:rPr>
          <w:sz w:val="22"/>
          <w:szCs w:val="22"/>
        </w:rPr>
        <w:t xml:space="preserve">Students will project demand forward with a growth rate and find the first year the reservoir falls below its drought reserve.</w:t>
      </w:r>
    </w:p>
    <w:p>
      <w:pPr>
        <w:pStyle w:val="ListParagraph"/>
        <w:keepLines/>
        <w:numPr>
          <w:ilvl w:val="0"/>
          <w:numId w:val="2"/>
        </w:numPr>
        <w:spacing w:after="60" w:line="264"/>
        <w:ind w:left="720" w:hanging="360"/>
      </w:pPr>
      <w:r>
        <w:rPr>
          <w:sz w:val="22"/>
          <w:szCs w:val="22"/>
        </w:rPr>
        <w:t xml:space="preserve">Students will choose measures that fit a stated budget and protect the drought reserve under dry-year and high-growth tests.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HS-ESS3-3 (NGSS)</w:t>
      </w:r>
      <w:r>
        <w:rPr>
          <w:sz w:val="22"/>
          <w:szCs w:val="22"/>
        </w:rPr>
        <w:t xml:space="preserve">: Create a computational simulation to illustrate the relationships among the management of natural resources, the sustainability of human populations, and biodiversity.</w:t>
      </w:r>
    </w:p>
    <w:p>
      <w:pPr>
        <w:spacing w:after="100" w:line="264"/>
        <w:ind w:left="360"/>
      </w:pPr>
      <w:r>
        <w:rPr>
          <w:i/>
          <w:iCs/>
          <w:color w:val="5B6B70"/>
          <w:sz w:val="20"/>
          <w:szCs w:val="20"/>
        </w:rPr>
        <w:t xml:space="preserve">How this material addresses it: Teams build the simplified spreadsheet simulation the standard's assessment boundary allows, modeling how river supply, demand, population growth, dry years, and conservation choices keep a reservoir above its reserve.</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Students write the growth formula for monthly demand and the formula linking river supply, demand, and reservoir storage, then graph each year's lowest storage against year on labeled and scaled axes in Session 2.</w:t>
      </w:r>
    </w:p>
    <w:p>
      <w:pPr>
        <w:pStyle w:val="Heading2"/>
        <w:keepNext/>
        <w:keepLines/>
      </w:pPr>
      <w:r>
        <w:rPr>
          <w:sz w:val="28"/>
          <w:szCs w:val="28"/>
        </w:rPr>
        <w:t xml:space="preserve">Vocabulary</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drought reserve, peak demand, reclaimed water</w:t>
      </w:r>
    </w:p>
    <w:p>
      <w:pPr>
        <w:pStyle w:val="Heading2"/>
        <w:keepNext/>
        <w:keepLines/>
      </w:pPr>
      <w:r>
        <w:rPr>
          <w:sz w:val="28"/>
          <w:szCs w:val="28"/>
        </w:rPr>
        <w:t xml:space="preserve">Teacher overview</w:t>
      </w:r>
    </w:p>
    <w:p>
      <w:pPr>
        <w:spacing w:after="100" w:line="264"/>
      </w:pPr>
      <w:r>
        <w:rPr>
          <w:sz w:val="22"/>
          <w:szCs w:val="22"/>
        </w:rPr>
        <w:t xml:space="preserve">A growing town will eventually ask for more water than its river and reservoir can deliver through a dry summer, and its planners have to work out which year that happens and what to build first. Over five sessions, teams build a month-by-month spreadsheet water budget for the fictional town of Ostlin, project it fifteen years forward, and test it against two dry years and faster growth. They then choose a package of conservation and supply measures that fits a fixed capital budget, and the final deliverable is a written plan and a short presentation to a fictional water board, which votes on the packages.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Year 0 baseline table already built in a spreadsheet, with the formulas for change in storage and end-of-month storage entered in the January row as a model, so their work begins at the projection step. Provide the acre-foot conversion worked once for August, and allow them to choose from a shortened price sheet of four measures: tiered rates, turf rebates, the new well, and dredging. Teams working on paper can record only the four draw months for each year, since the reservoir refills to full by June in every normal year.</w:t>
      </w:r>
    </w:p>
    <w:p>
      <w:pPr>
        <w:pStyle w:val="Heading3"/>
        <w:keepNext/>
        <w:keepLines/>
      </w:pPr>
      <w:r>
        <w:rPr>
          <w:sz w:val="24"/>
          <w:szCs w:val="24"/>
        </w:rPr>
        <w:t xml:space="preserve">Extension</w:t>
      </w:r>
    </w:p>
    <w:p>
      <w:pPr>
        <w:spacing w:after="100" w:line="264"/>
      </w:pPr>
      <w:r>
        <w:rPr>
          <w:sz w:val="22"/>
          <w:szCs w:val="22"/>
        </w:rPr>
        <w:t xml:space="preserve">Ask teams to add a column that estimates how each measure changes the average household bill, using a cost-per-customer figure you supply, and to explain which package a household on a fixed income would prefer. Have them name the measure with the widest gap between cost and public support. A second option is to phase the spending, building the well in Year 6 instead of Year 1, and to find the latest year each measure could start without breaking the reserve.</w:t>
      </w:r>
    </w:p>
    <w:p>
      <w:pPr>
        <w:pStyle w:val="Heading3"/>
        <w:keepNext/>
        <w:keepLines/>
      </w:pPr>
      <w:r>
        <w:rPr>
          <w:sz w:val="24"/>
          <w:szCs w:val="24"/>
        </w:rPr>
        <w:t xml:space="preserve">ELL supports</w:t>
      </w:r>
    </w:p>
    <w:p>
      <w:pPr>
        <w:spacing w:after="100" w:line="264"/>
      </w:pPr>
      <w:r>
        <w:rPr>
          <w:sz w:val="22"/>
          <w:szCs w:val="22"/>
        </w:rPr>
        <w:t xml:space="preserve">Pre-teach "budget," "reserve," "shortfall," "permit," and "acre-foot" with a labeled diagram of a reservoir showing the usable storage, the full line, and the reserve at the bottom. Provide a labeled spreadsheet template with column headings already written, and allow teams to plan in their home languages before drafting.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Ostlin's Drought Plan: A Spreadsheet Water Budget</w:t>
      </w:r>
    </w:p>
    <w:p>
      <w:pPr>
        <w:keepNext/>
        <w:spacing w:after="160"/>
      </w:pPr>
      <w:r>
        <w:rPr>
          <w:color w:val="5B6B70"/>
          <w:sz w:val="20"/>
          <w:szCs w:val="20"/>
        </w:rPr>
        <w:t xml:space="preserve">Grade 10 · Science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should the fictional town of Ostlin keep Marrow Reservoir above its drought reserve for the next fifteen years, including two dry years in a row, without spending more than its capital budget?</w:t>
      </w:r>
    </w:p>
    <w:p>
      <w:pPr>
        <w:spacing w:after="120" w:line="276"/>
      </w:pPr>
      <w:r>
        <w:rPr>
          <w:b/>
          <w:bCs/>
          <w:sz w:val="22"/>
          <w:szCs w:val="22"/>
        </w:rPr>
        <w:t xml:space="preserve">Scenario:</w:t>
      </w:r>
      <w:r>
        <w:rPr>
          <w:sz w:val="22"/>
          <w:szCs w:val="22"/>
        </w:rPr>
        <w:t xml:space="preserve"> The fictional Ostlin water board has asked student teams to write the town's first drought plan. Ostlin draws from the Stannifer River and stores water in Marrow Reservoir. In winter and spring the river carries more than the town uses, and the extra refills the reservoir. From June through September the town uses more than its permit allows it to take from the river, and the reservoir makes up the difference. Every figure in this brief is invented for the project.</w:t>
      </w:r>
    </w:p>
    <w:p>
      <w:pPr>
        <w:keepNext/>
        <w:keepLines/>
        <w:spacing w:after="120" w:line="276"/>
      </w:pPr>
      <w:r>
        <w:rPr>
          <w:b/>
          <w:bCs/>
          <w:sz w:val="22"/>
          <w:szCs w:val="22"/>
        </w:rPr>
        <w:t xml:space="preserve">Baseline data table (Year 0, the current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87"/>
        <w:gridCol w:w="1156"/>
        <w:gridCol w:w="3469"/>
        <w:gridCol w:w="3468"/>
      </w:tblGrid>
      <w:tr>
        <w:trPr>
          <w:cantSplit/>
          <w:tblHeader/>
        </w:trPr>
        <w:tc>
          <w:tcPr>
            <w:tcW w:type="dxa" w:w="19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11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Days</w:t>
            </w:r>
          </w:p>
        </w:tc>
        <w:tc>
          <w:tcPr>
            <w:tcW w:type="dxa" w:w="34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Town demand (MGD)</w:t>
            </w:r>
          </w:p>
        </w:tc>
        <w:tc>
          <w:tcPr>
            <w:tcW w:type="dxa" w:w="34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Permitted river withdrawal (MGD)</w:t>
            </w:r>
          </w:p>
        </w:tc>
      </w:tr>
      <w:tr>
        <w:trPr>
          <w:cantSplit/>
        </w:trPr>
        <w:tc>
          <w:tcPr>
            <w:tcW w:type="dxa" w:w="1987"/>
            <w:tcMar>
              <w:top w:type="dxa" w:w="70"/>
              <w:left w:type="dxa" w:w="100"/>
              <w:bottom w:type="dxa" w:w="70"/>
              <w:right w:type="dxa" w:w="100"/>
            </w:tcMar>
            <w:vAlign w:val="top"/>
          </w:tcPr>
          <w:p>
            <w:pPr>
              <w:keepNext/>
              <w:spacing w:after="0" w:line="252"/>
              <w:jc w:val="left"/>
            </w:pPr>
            <w:r>
              <w:rPr>
                <w:sz w:val="22"/>
                <w:szCs w:val="22"/>
              </w:rPr>
              <w:t xml:space="preserve">January</w:t>
            </w:r>
          </w:p>
        </w:tc>
        <w:tc>
          <w:tcPr>
            <w:tcW w:type="dxa" w:w="1156"/>
            <w:tcMar>
              <w:top w:type="dxa" w:w="70"/>
              <w:left w:type="dxa" w:w="100"/>
              <w:bottom w:type="dxa" w:w="70"/>
              <w:right w:type="dxa" w:w="100"/>
            </w:tcMar>
            <w:vAlign w:val="top"/>
          </w:tcPr>
          <w:p>
            <w:pPr>
              <w:keepNext/>
              <w:spacing w:after="0" w:line="252"/>
              <w:jc w:val="left"/>
            </w:pPr>
            <w:r>
              <w:rPr>
                <w:sz w:val="22"/>
                <w:szCs w:val="22"/>
              </w:rPr>
              <w:t xml:space="preserve">31</w:t>
            </w:r>
          </w:p>
        </w:tc>
        <w:tc>
          <w:tcPr>
            <w:tcW w:type="dxa" w:w="3469"/>
            <w:tcMar>
              <w:top w:type="dxa" w:w="70"/>
              <w:left w:type="dxa" w:w="100"/>
              <w:bottom w:type="dxa" w:w="70"/>
              <w:right w:type="dxa" w:w="100"/>
            </w:tcMar>
            <w:vAlign w:val="top"/>
          </w:tcPr>
          <w:p>
            <w:pPr>
              <w:keepNext/>
              <w:spacing w:after="0" w:line="252"/>
              <w:jc w:val="left"/>
            </w:pPr>
            <w:r>
              <w:rPr>
                <w:sz w:val="22"/>
                <w:szCs w:val="22"/>
              </w:rPr>
              <w:t xml:space="preserve">2.6</w:t>
            </w:r>
          </w:p>
        </w:tc>
        <w:tc>
          <w:tcPr>
            <w:tcW w:type="dxa" w:w="3468"/>
            <w:tcMar>
              <w:top w:type="dxa" w:w="70"/>
              <w:left w:type="dxa" w:w="100"/>
              <w:bottom w:type="dxa" w:w="70"/>
              <w:right w:type="dxa" w:w="100"/>
            </w:tcMar>
            <w:vAlign w:val="top"/>
          </w:tcPr>
          <w:p>
            <w:pPr>
              <w:keepNext/>
              <w:spacing w:after="0" w:line="252"/>
              <w:jc w:val="left"/>
            </w:pPr>
            <w:r>
              <w:rPr>
                <w:sz w:val="22"/>
                <w:szCs w:val="22"/>
              </w:rPr>
              <w:t xml:space="preserve">7.0</w:t>
            </w:r>
          </w:p>
        </w:tc>
      </w:tr>
      <w:tr>
        <w:trPr>
          <w:cantSplit/>
        </w:trPr>
        <w:tc>
          <w:tcPr>
            <w:tcW w:type="dxa" w:w="1987"/>
            <w:tcMar>
              <w:top w:type="dxa" w:w="70"/>
              <w:left w:type="dxa" w:w="100"/>
              <w:bottom w:type="dxa" w:w="70"/>
              <w:right w:type="dxa" w:w="100"/>
            </w:tcMar>
            <w:vAlign w:val="top"/>
          </w:tcPr>
          <w:p>
            <w:pPr>
              <w:keepNext/>
              <w:spacing w:after="0" w:line="252"/>
              <w:jc w:val="left"/>
            </w:pPr>
            <w:r>
              <w:rPr>
                <w:sz w:val="22"/>
                <w:szCs w:val="22"/>
              </w:rPr>
              <w:t xml:space="preserve">February</w:t>
            </w:r>
          </w:p>
        </w:tc>
        <w:tc>
          <w:tcPr>
            <w:tcW w:type="dxa" w:w="1156"/>
            <w:tcMar>
              <w:top w:type="dxa" w:w="70"/>
              <w:left w:type="dxa" w:w="100"/>
              <w:bottom w:type="dxa" w:w="70"/>
              <w:right w:type="dxa" w:w="100"/>
            </w:tcMar>
            <w:vAlign w:val="top"/>
          </w:tcPr>
          <w:p>
            <w:pPr>
              <w:keepNext/>
              <w:spacing w:after="0" w:line="252"/>
              <w:jc w:val="left"/>
            </w:pPr>
            <w:r>
              <w:rPr>
                <w:sz w:val="22"/>
                <w:szCs w:val="22"/>
              </w:rPr>
              <w:t xml:space="preserve">28</w:t>
            </w:r>
          </w:p>
        </w:tc>
        <w:tc>
          <w:tcPr>
            <w:tcW w:type="dxa" w:w="3469"/>
            <w:tcMar>
              <w:top w:type="dxa" w:w="70"/>
              <w:left w:type="dxa" w:w="100"/>
              <w:bottom w:type="dxa" w:w="70"/>
              <w:right w:type="dxa" w:w="100"/>
            </w:tcMar>
            <w:vAlign w:val="top"/>
          </w:tcPr>
          <w:p>
            <w:pPr>
              <w:keepNext/>
              <w:spacing w:after="0" w:line="252"/>
              <w:jc w:val="left"/>
            </w:pPr>
            <w:r>
              <w:rPr>
                <w:sz w:val="22"/>
                <w:szCs w:val="22"/>
              </w:rPr>
              <w:t xml:space="preserve">2.6</w:t>
            </w:r>
          </w:p>
        </w:tc>
        <w:tc>
          <w:tcPr>
            <w:tcW w:type="dxa" w:w="3468"/>
            <w:tcMar>
              <w:top w:type="dxa" w:w="70"/>
              <w:left w:type="dxa" w:w="100"/>
              <w:bottom w:type="dxa" w:w="70"/>
              <w:right w:type="dxa" w:w="100"/>
            </w:tcMar>
            <w:vAlign w:val="top"/>
          </w:tcPr>
          <w:p>
            <w:pPr>
              <w:keepNext/>
              <w:spacing w:after="0" w:line="252"/>
              <w:jc w:val="left"/>
            </w:pPr>
            <w:r>
              <w:rPr>
                <w:sz w:val="22"/>
                <w:szCs w:val="22"/>
              </w:rPr>
              <w:t xml:space="preserve">7.0</w:t>
            </w:r>
          </w:p>
        </w:tc>
      </w:tr>
      <w:tr>
        <w:trPr>
          <w:cantSplit/>
        </w:trPr>
        <w:tc>
          <w:tcPr>
            <w:tcW w:type="dxa" w:w="1987"/>
            <w:tcMar>
              <w:top w:type="dxa" w:w="70"/>
              <w:left w:type="dxa" w:w="100"/>
              <w:bottom w:type="dxa" w:w="70"/>
              <w:right w:type="dxa" w:w="100"/>
            </w:tcMar>
            <w:vAlign w:val="top"/>
          </w:tcPr>
          <w:p>
            <w:pPr>
              <w:keepNext/>
              <w:spacing w:after="0" w:line="252"/>
              <w:jc w:val="left"/>
            </w:pPr>
            <w:r>
              <w:rPr>
                <w:sz w:val="22"/>
                <w:szCs w:val="22"/>
              </w:rPr>
              <w:t xml:space="preserve">March</w:t>
            </w:r>
          </w:p>
        </w:tc>
        <w:tc>
          <w:tcPr>
            <w:tcW w:type="dxa" w:w="1156"/>
            <w:tcMar>
              <w:top w:type="dxa" w:w="70"/>
              <w:left w:type="dxa" w:w="100"/>
              <w:bottom w:type="dxa" w:w="70"/>
              <w:right w:type="dxa" w:w="100"/>
            </w:tcMar>
            <w:vAlign w:val="top"/>
          </w:tcPr>
          <w:p>
            <w:pPr>
              <w:keepNext/>
              <w:spacing w:after="0" w:line="252"/>
              <w:jc w:val="left"/>
            </w:pPr>
            <w:r>
              <w:rPr>
                <w:sz w:val="22"/>
                <w:szCs w:val="22"/>
              </w:rPr>
              <w:t xml:space="preserve">31</w:t>
            </w:r>
          </w:p>
        </w:tc>
        <w:tc>
          <w:tcPr>
            <w:tcW w:type="dxa" w:w="3469"/>
            <w:tcMar>
              <w:top w:type="dxa" w:w="70"/>
              <w:left w:type="dxa" w:w="100"/>
              <w:bottom w:type="dxa" w:w="70"/>
              <w:right w:type="dxa" w:w="100"/>
            </w:tcMar>
            <w:vAlign w:val="top"/>
          </w:tcPr>
          <w:p>
            <w:pPr>
              <w:keepNext/>
              <w:spacing w:after="0" w:line="252"/>
              <w:jc w:val="left"/>
            </w:pPr>
            <w:r>
              <w:rPr>
                <w:sz w:val="22"/>
                <w:szCs w:val="22"/>
              </w:rPr>
              <w:t xml:space="preserve">2.7</w:t>
            </w:r>
          </w:p>
        </w:tc>
        <w:tc>
          <w:tcPr>
            <w:tcW w:type="dxa" w:w="3468"/>
            <w:tcMar>
              <w:top w:type="dxa" w:w="70"/>
              <w:left w:type="dxa" w:w="100"/>
              <w:bottom w:type="dxa" w:w="70"/>
              <w:right w:type="dxa" w:w="100"/>
            </w:tcMar>
            <w:vAlign w:val="top"/>
          </w:tcPr>
          <w:p>
            <w:pPr>
              <w:keepNext/>
              <w:spacing w:after="0" w:line="252"/>
              <w:jc w:val="left"/>
            </w:pPr>
            <w:r>
              <w:rPr>
                <w:sz w:val="22"/>
                <w:szCs w:val="22"/>
              </w:rPr>
              <w:t xml:space="preserve">7.0</w:t>
            </w:r>
          </w:p>
        </w:tc>
      </w:tr>
      <w:tr>
        <w:trPr>
          <w:cantSplit/>
        </w:trPr>
        <w:tc>
          <w:tcPr>
            <w:tcW w:type="dxa" w:w="1987"/>
            <w:tcMar>
              <w:top w:type="dxa" w:w="70"/>
              <w:left w:type="dxa" w:w="100"/>
              <w:bottom w:type="dxa" w:w="70"/>
              <w:right w:type="dxa" w:w="100"/>
            </w:tcMar>
            <w:vAlign w:val="top"/>
          </w:tcPr>
          <w:p>
            <w:pPr>
              <w:keepNext/>
              <w:spacing w:after="0" w:line="252"/>
              <w:jc w:val="left"/>
            </w:pPr>
            <w:r>
              <w:rPr>
                <w:sz w:val="22"/>
                <w:szCs w:val="22"/>
              </w:rPr>
              <w:t xml:space="preserve">April</w:t>
            </w:r>
          </w:p>
        </w:tc>
        <w:tc>
          <w:tcPr>
            <w:tcW w:type="dxa" w:w="1156"/>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3469"/>
            <w:tcMar>
              <w:top w:type="dxa" w:w="70"/>
              <w:left w:type="dxa" w:w="100"/>
              <w:bottom w:type="dxa" w:w="70"/>
              <w:right w:type="dxa" w:w="100"/>
            </w:tcMar>
            <w:vAlign w:val="top"/>
          </w:tcPr>
          <w:p>
            <w:pPr>
              <w:keepNext/>
              <w:spacing w:after="0" w:line="252"/>
              <w:jc w:val="left"/>
            </w:pPr>
            <w:r>
              <w:rPr>
                <w:sz w:val="22"/>
                <w:szCs w:val="22"/>
              </w:rPr>
              <w:t xml:space="preserve">2.9</w:t>
            </w:r>
          </w:p>
        </w:tc>
        <w:tc>
          <w:tcPr>
            <w:tcW w:type="dxa" w:w="3468"/>
            <w:tcMar>
              <w:top w:type="dxa" w:w="70"/>
              <w:left w:type="dxa" w:w="100"/>
              <w:bottom w:type="dxa" w:w="70"/>
              <w:right w:type="dxa" w:w="100"/>
            </w:tcMar>
            <w:vAlign w:val="top"/>
          </w:tcPr>
          <w:p>
            <w:pPr>
              <w:keepNext/>
              <w:spacing w:after="0" w:line="252"/>
              <w:jc w:val="left"/>
            </w:pPr>
            <w:r>
              <w:rPr>
                <w:sz w:val="22"/>
                <w:szCs w:val="22"/>
              </w:rPr>
              <w:t xml:space="preserve">7.0</w:t>
            </w:r>
          </w:p>
        </w:tc>
      </w:tr>
      <w:tr>
        <w:trPr>
          <w:cantSplit/>
        </w:trPr>
        <w:tc>
          <w:tcPr>
            <w:tcW w:type="dxa" w:w="1987"/>
            <w:tcMar>
              <w:top w:type="dxa" w:w="70"/>
              <w:left w:type="dxa" w:w="100"/>
              <w:bottom w:type="dxa" w:w="70"/>
              <w:right w:type="dxa" w:w="100"/>
            </w:tcMar>
            <w:vAlign w:val="top"/>
          </w:tcPr>
          <w:p>
            <w:pPr>
              <w:keepNext/>
              <w:spacing w:after="0" w:line="252"/>
              <w:jc w:val="left"/>
            </w:pPr>
            <w:r>
              <w:rPr>
                <w:sz w:val="22"/>
                <w:szCs w:val="22"/>
              </w:rPr>
              <w:t xml:space="preserve">May</w:t>
            </w:r>
          </w:p>
        </w:tc>
        <w:tc>
          <w:tcPr>
            <w:tcW w:type="dxa" w:w="1156"/>
            <w:tcMar>
              <w:top w:type="dxa" w:w="70"/>
              <w:left w:type="dxa" w:w="100"/>
              <w:bottom w:type="dxa" w:w="70"/>
              <w:right w:type="dxa" w:w="100"/>
            </w:tcMar>
            <w:vAlign w:val="top"/>
          </w:tcPr>
          <w:p>
            <w:pPr>
              <w:keepNext/>
              <w:spacing w:after="0" w:line="252"/>
              <w:jc w:val="left"/>
            </w:pPr>
            <w:r>
              <w:rPr>
                <w:sz w:val="22"/>
                <w:szCs w:val="22"/>
              </w:rPr>
              <w:t xml:space="preserve">31</w:t>
            </w:r>
          </w:p>
        </w:tc>
        <w:tc>
          <w:tcPr>
            <w:tcW w:type="dxa" w:w="3469"/>
            <w:tcMar>
              <w:top w:type="dxa" w:w="70"/>
              <w:left w:type="dxa" w:w="100"/>
              <w:bottom w:type="dxa" w:w="70"/>
              <w:right w:type="dxa" w:w="100"/>
            </w:tcMar>
            <w:vAlign w:val="top"/>
          </w:tcPr>
          <w:p>
            <w:pPr>
              <w:keepNext/>
              <w:spacing w:after="0" w:line="252"/>
              <w:jc w:val="left"/>
            </w:pPr>
            <w:r>
              <w:rPr>
                <w:sz w:val="22"/>
                <w:szCs w:val="22"/>
              </w:rPr>
              <w:t xml:space="preserve">3.4</w:t>
            </w:r>
          </w:p>
        </w:tc>
        <w:tc>
          <w:tcPr>
            <w:tcW w:type="dxa" w:w="3468"/>
            <w:tcMar>
              <w:top w:type="dxa" w:w="70"/>
              <w:left w:type="dxa" w:w="100"/>
              <w:bottom w:type="dxa" w:w="70"/>
              <w:right w:type="dxa" w:w="100"/>
            </w:tcMar>
            <w:vAlign w:val="top"/>
          </w:tcPr>
          <w:p>
            <w:pPr>
              <w:keepNext/>
              <w:spacing w:after="0" w:line="252"/>
              <w:jc w:val="left"/>
            </w:pPr>
            <w:r>
              <w:rPr>
                <w:sz w:val="22"/>
                <w:szCs w:val="22"/>
              </w:rPr>
              <w:t xml:space="preserve">4.4</w:t>
            </w:r>
          </w:p>
        </w:tc>
      </w:tr>
      <w:tr>
        <w:trPr>
          <w:cantSplit/>
        </w:trPr>
        <w:tc>
          <w:tcPr>
            <w:tcW w:type="dxa" w:w="1987"/>
            <w:tcMar>
              <w:top w:type="dxa" w:w="70"/>
              <w:left w:type="dxa" w:w="100"/>
              <w:bottom w:type="dxa" w:w="70"/>
              <w:right w:type="dxa" w:w="100"/>
            </w:tcMar>
            <w:vAlign w:val="top"/>
          </w:tcPr>
          <w:p>
            <w:pPr>
              <w:keepNext/>
              <w:spacing w:after="0" w:line="252"/>
              <w:jc w:val="left"/>
            </w:pPr>
            <w:r>
              <w:rPr>
                <w:sz w:val="22"/>
                <w:szCs w:val="22"/>
              </w:rPr>
              <w:t xml:space="preserve">June</w:t>
            </w:r>
          </w:p>
        </w:tc>
        <w:tc>
          <w:tcPr>
            <w:tcW w:type="dxa" w:w="1156"/>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3469"/>
            <w:tcMar>
              <w:top w:type="dxa" w:w="70"/>
              <w:left w:type="dxa" w:w="100"/>
              <w:bottom w:type="dxa" w:w="70"/>
              <w:right w:type="dxa" w:w="100"/>
            </w:tcMar>
            <w:vAlign w:val="top"/>
          </w:tcPr>
          <w:p>
            <w:pPr>
              <w:keepNext/>
              <w:spacing w:after="0" w:line="252"/>
              <w:jc w:val="left"/>
            </w:pPr>
            <w:r>
              <w:rPr>
                <w:sz w:val="22"/>
                <w:szCs w:val="22"/>
              </w:rPr>
              <w:t xml:space="preserve">4.2</w:t>
            </w:r>
          </w:p>
        </w:tc>
        <w:tc>
          <w:tcPr>
            <w:tcW w:type="dxa" w:w="3468"/>
            <w:tcMar>
              <w:top w:type="dxa" w:w="70"/>
              <w:left w:type="dxa" w:w="100"/>
              <w:bottom w:type="dxa" w:w="70"/>
              <w:right w:type="dxa" w:w="100"/>
            </w:tcMar>
            <w:vAlign w:val="top"/>
          </w:tcPr>
          <w:p>
            <w:pPr>
              <w:keepNext/>
              <w:spacing w:after="0" w:line="252"/>
              <w:jc w:val="left"/>
            </w:pPr>
            <w:r>
              <w:rPr>
                <w:sz w:val="22"/>
                <w:szCs w:val="22"/>
              </w:rPr>
              <w:t xml:space="preserve">2.8</w:t>
            </w:r>
          </w:p>
        </w:tc>
      </w:tr>
      <w:tr>
        <w:trPr>
          <w:cantSplit/>
        </w:trPr>
        <w:tc>
          <w:tcPr>
            <w:tcW w:type="dxa" w:w="1987"/>
            <w:tcMar>
              <w:top w:type="dxa" w:w="70"/>
              <w:left w:type="dxa" w:w="100"/>
              <w:bottom w:type="dxa" w:w="70"/>
              <w:right w:type="dxa" w:w="100"/>
            </w:tcMar>
            <w:vAlign w:val="top"/>
          </w:tcPr>
          <w:p>
            <w:pPr>
              <w:keepNext/>
              <w:spacing w:after="0" w:line="252"/>
              <w:jc w:val="left"/>
            </w:pPr>
            <w:r>
              <w:rPr>
                <w:sz w:val="22"/>
                <w:szCs w:val="22"/>
              </w:rPr>
              <w:t xml:space="preserve">July</w:t>
            </w:r>
          </w:p>
        </w:tc>
        <w:tc>
          <w:tcPr>
            <w:tcW w:type="dxa" w:w="1156"/>
            <w:tcMar>
              <w:top w:type="dxa" w:w="70"/>
              <w:left w:type="dxa" w:w="100"/>
              <w:bottom w:type="dxa" w:w="70"/>
              <w:right w:type="dxa" w:w="100"/>
            </w:tcMar>
            <w:vAlign w:val="top"/>
          </w:tcPr>
          <w:p>
            <w:pPr>
              <w:keepNext/>
              <w:spacing w:after="0" w:line="252"/>
              <w:jc w:val="left"/>
            </w:pPr>
            <w:r>
              <w:rPr>
                <w:sz w:val="22"/>
                <w:szCs w:val="22"/>
              </w:rPr>
              <w:t xml:space="preserve">31</w:t>
            </w:r>
          </w:p>
        </w:tc>
        <w:tc>
          <w:tcPr>
            <w:tcW w:type="dxa" w:w="3469"/>
            <w:tcMar>
              <w:top w:type="dxa" w:w="70"/>
              <w:left w:type="dxa" w:w="100"/>
              <w:bottom w:type="dxa" w:w="70"/>
              <w:right w:type="dxa" w:w="100"/>
            </w:tcMar>
            <w:vAlign w:val="top"/>
          </w:tcPr>
          <w:p>
            <w:pPr>
              <w:keepNext/>
              <w:spacing w:after="0" w:line="252"/>
              <w:jc w:val="left"/>
            </w:pPr>
            <w:r>
              <w:rPr>
                <w:sz w:val="22"/>
                <w:szCs w:val="22"/>
              </w:rPr>
              <w:t xml:space="preserve">4.8</w:t>
            </w:r>
          </w:p>
        </w:tc>
        <w:tc>
          <w:tcPr>
            <w:tcW w:type="dxa" w:w="3468"/>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1987"/>
            <w:tcMar>
              <w:top w:type="dxa" w:w="70"/>
              <w:left w:type="dxa" w:w="100"/>
              <w:bottom w:type="dxa" w:w="70"/>
              <w:right w:type="dxa" w:w="100"/>
            </w:tcMar>
            <w:vAlign w:val="top"/>
          </w:tcPr>
          <w:p>
            <w:pPr>
              <w:keepNext/>
              <w:spacing w:after="0" w:line="252"/>
              <w:jc w:val="left"/>
            </w:pPr>
            <w:r>
              <w:rPr>
                <w:sz w:val="22"/>
                <w:szCs w:val="22"/>
              </w:rPr>
              <w:t xml:space="preserve">August</w:t>
            </w:r>
          </w:p>
        </w:tc>
        <w:tc>
          <w:tcPr>
            <w:tcW w:type="dxa" w:w="1156"/>
            <w:tcMar>
              <w:top w:type="dxa" w:w="70"/>
              <w:left w:type="dxa" w:w="100"/>
              <w:bottom w:type="dxa" w:w="70"/>
              <w:right w:type="dxa" w:w="100"/>
            </w:tcMar>
            <w:vAlign w:val="top"/>
          </w:tcPr>
          <w:p>
            <w:pPr>
              <w:keepNext/>
              <w:spacing w:after="0" w:line="252"/>
              <w:jc w:val="left"/>
            </w:pPr>
            <w:r>
              <w:rPr>
                <w:sz w:val="22"/>
                <w:szCs w:val="22"/>
              </w:rPr>
              <w:t xml:space="preserve">31</w:t>
            </w:r>
          </w:p>
        </w:tc>
        <w:tc>
          <w:tcPr>
            <w:tcW w:type="dxa" w:w="3469"/>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3468"/>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1987"/>
            <w:tcMar>
              <w:top w:type="dxa" w:w="70"/>
              <w:left w:type="dxa" w:w="100"/>
              <w:bottom w:type="dxa" w:w="70"/>
              <w:right w:type="dxa" w:w="100"/>
            </w:tcMar>
            <w:vAlign w:val="top"/>
          </w:tcPr>
          <w:p>
            <w:pPr>
              <w:keepNext/>
              <w:spacing w:after="0" w:line="252"/>
              <w:jc w:val="left"/>
            </w:pPr>
            <w:r>
              <w:rPr>
                <w:sz w:val="22"/>
                <w:szCs w:val="22"/>
              </w:rPr>
              <w:t xml:space="preserve">September</w:t>
            </w:r>
          </w:p>
        </w:tc>
        <w:tc>
          <w:tcPr>
            <w:tcW w:type="dxa" w:w="1156"/>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3469"/>
            <w:tcMar>
              <w:top w:type="dxa" w:w="70"/>
              <w:left w:type="dxa" w:w="100"/>
              <w:bottom w:type="dxa" w:w="70"/>
              <w:right w:type="dxa" w:w="100"/>
            </w:tcMar>
            <w:vAlign w:val="top"/>
          </w:tcPr>
          <w:p>
            <w:pPr>
              <w:keepNext/>
              <w:spacing w:after="0" w:line="252"/>
              <w:jc w:val="left"/>
            </w:pPr>
            <w:r>
              <w:rPr>
                <w:sz w:val="22"/>
                <w:szCs w:val="22"/>
              </w:rPr>
              <w:t xml:space="preserve">4.3</w:t>
            </w:r>
          </w:p>
        </w:tc>
        <w:tc>
          <w:tcPr>
            <w:tcW w:type="dxa" w:w="3468"/>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1987"/>
            <w:tcMar>
              <w:top w:type="dxa" w:w="70"/>
              <w:left w:type="dxa" w:w="100"/>
              <w:bottom w:type="dxa" w:w="70"/>
              <w:right w:type="dxa" w:w="100"/>
            </w:tcMar>
            <w:vAlign w:val="top"/>
          </w:tcPr>
          <w:p>
            <w:pPr>
              <w:keepNext/>
              <w:spacing w:after="0" w:line="252"/>
              <w:jc w:val="left"/>
            </w:pPr>
            <w:r>
              <w:rPr>
                <w:sz w:val="22"/>
                <w:szCs w:val="22"/>
              </w:rPr>
              <w:t xml:space="preserve">October</w:t>
            </w:r>
          </w:p>
        </w:tc>
        <w:tc>
          <w:tcPr>
            <w:tcW w:type="dxa" w:w="1156"/>
            <w:tcMar>
              <w:top w:type="dxa" w:w="70"/>
              <w:left w:type="dxa" w:w="100"/>
              <w:bottom w:type="dxa" w:w="70"/>
              <w:right w:type="dxa" w:w="100"/>
            </w:tcMar>
            <w:vAlign w:val="top"/>
          </w:tcPr>
          <w:p>
            <w:pPr>
              <w:keepNext/>
              <w:spacing w:after="0" w:line="252"/>
              <w:jc w:val="left"/>
            </w:pPr>
            <w:r>
              <w:rPr>
                <w:sz w:val="22"/>
                <w:szCs w:val="22"/>
              </w:rPr>
              <w:t xml:space="preserve">31</w:t>
            </w:r>
          </w:p>
        </w:tc>
        <w:tc>
          <w:tcPr>
            <w:tcW w:type="dxa" w:w="3469"/>
            <w:tcMar>
              <w:top w:type="dxa" w:w="70"/>
              <w:left w:type="dxa" w:w="100"/>
              <w:bottom w:type="dxa" w:w="70"/>
              <w:right w:type="dxa" w:w="100"/>
            </w:tcMar>
            <w:vAlign w:val="top"/>
          </w:tcPr>
          <w:p>
            <w:pPr>
              <w:keepNext/>
              <w:spacing w:after="0" w:line="252"/>
              <w:jc w:val="left"/>
            </w:pPr>
            <w:r>
              <w:rPr>
                <w:sz w:val="22"/>
                <w:szCs w:val="22"/>
              </w:rPr>
              <w:t xml:space="preserve">3.3</w:t>
            </w:r>
          </w:p>
        </w:tc>
        <w:tc>
          <w:tcPr>
            <w:tcW w:type="dxa" w:w="3468"/>
            <w:tcMar>
              <w:top w:type="dxa" w:w="70"/>
              <w:left w:type="dxa" w:w="100"/>
              <w:bottom w:type="dxa" w:w="70"/>
              <w:right w:type="dxa" w:w="100"/>
            </w:tcMar>
            <w:vAlign w:val="top"/>
          </w:tcPr>
          <w:p>
            <w:pPr>
              <w:keepNext/>
              <w:spacing w:after="0" w:line="252"/>
              <w:jc w:val="left"/>
            </w:pPr>
            <w:r>
              <w:rPr>
                <w:sz w:val="22"/>
                <w:szCs w:val="22"/>
              </w:rPr>
              <w:t xml:space="preserve">4.2</w:t>
            </w:r>
          </w:p>
        </w:tc>
      </w:tr>
      <w:tr>
        <w:trPr>
          <w:cantSplit/>
        </w:trPr>
        <w:tc>
          <w:tcPr>
            <w:tcW w:type="dxa" w:w="1987"/>
            <w:tcMar>
              <w:top w:type="dxa" w:w="70"/>
              <w:left w:type="dxa" w:w="100"/>
              <w:bottom w:type="dxa" w:w="70"/>
              <w:right w:type="dxa" w:w="100"/>
            </w:tcMar>
            <w:vAlign w:val="top"/>
          </w:tcPr>
          <w:p>
            <w:pPr>
              <w:keepNext/>
              <w:spacing w:after="0" w:line="252"/>
              <w:jc w:val="left"/>
            </w:pPr>
            <w:r>
              <w:rPr>
                <w:sz w:val="22"/>
                <w:szCs w:val="22"/>
              </w:rPr>
              <w:t xml:space="preserve">November</w:t>
            </w:r>
          </w:p>
        </w:tc>
        <w:tc>
          <w:tcPr>
            <w:tcW w:type="dxa" w:w="1156"/>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3469"/>
            <w:tcMar>
              <w:top w:type="dxa" w:w="70"/>
              <w:left w:type="dxa" w:w="100"/>
              <w:bottom w:type="dxa" w:w="70"/>
              <w:right w:type="dxa" w:w="100"/>
            </w:tcMar>
            <w:vAlign w:val="top"/>
          </w:tcPr>
          <w:p>
            <w:pPr>
              <w:keepNext/>
              <w:spacing w:after="0" w:line="252"/>
              <w:jc w:val="left"/>
            </w:pPr>
            <w:r>
              <w:rPr>
                <w:sz w:val="22"/>
                <w:szCs w:val="22"/>
              </w:rPr>
              <w:t xml:space="preserve">2.8</w:t>
            </w:r>
          </w:p>
        </w:tc>
        <w:tc>
          <w:tcPr>
            <w:tcW w:type="dxa" w:w="3468"/>
            <w:tcMar>
              <w:top w:type="dxa" w:w="70"/>
              <w:left w:type="dxa" w:w="100"/>
              <w:bottom w:type="dxa" w:w="70"/>
              <w:right w:type="dxa" w:w="100"/>
            </w:tcMar>
            <w:vAlign w:val="top"/>
          </w:tcPr>
          <w:p>
            <w:pPr>
              <w:keepNext/>
              <w:spacing w:after="0" w:line="252"/>
              <w:jc w:val="left"/>
            </w:pPr>
            <w:r>
              <w:rPr>
                <w:sz w:val="22"/>
                <w:szCs w:val="22"/>
              </w:rPr>
              <w:t xml:space="preserve">7.0</w:t>
            </w:r>
          </w:p>
        </w:tc>
      </w:tr>
      <w:tr>
        <w:trPr>
          <w:cantSplit/>
        </w:trPr>
        <w:tc>
          <w:tcPr>
            <w:tcW w:type="dxa" w:w="1987"/>
            <w:tcMar>
              <w:top w:type="dxa" w:w="70"/>
              <w:left w:type="dxa" w:w="100"/>
              <w:bottom w:type="dxa" w:w="70"/>
              <w:right w:type="dxa" w:w="100"/>
            </w:tcMar>
            <w:vAlign w:val="top"/>
          </w:tcPr>
          <w:p>
            <w:pPr>
              <w:spacing w:after="0" w:line="252"/>
              <w:jc w:val="left"/>
            </w:pPr>
            <w:r>
              <w:rPr>
                <w:sz w:val="22"/>
                <w:szCs w:val="22"/>
              </w:rPr>
              <w:t xml:space="preserve">December</w:t>
            </w:r>
          </w:p>
        </w:tc>
        <w:tc>
          <w:tcPr>
            <w:tcW w:type="dxa" w:w="1156"/>
            <w:tcMar>
              <w:top w:type="dxa" w:w="70"/>
              <w:left w:type="dxa" w:w="100"/>
              <w:bottom w:type="dxa" w:w="70"/>
              <w:right w:type="dxa" w:w="100"/>
            </w:tcMar>
            <w:vAlign w:val="top"/>
          </w:tcPr>
          <w:p>
            <w:pPr>
              <w:spacing w:after="0" w:line="252"/>
              <w:jc w:val="left"/>
            </w:pPr>
            <w:r>
              <w:rPr>
                <w:sz w:val="22"/>
                <w:szCs w:val="22"/>
              </w:rPr>
              <w:t xml:space="preserve">31</w:t>
            </w:r>
          </w:p>
        </w:tc>
        <w:tc>
          <w:tcPr>
            <w:tcW w:type="dxa" w:w="3469"/>
            <w:tcMar>
              <w:top w:type="dxa" w:w="70"/>
              <w:left w:type="dxa" w:w="100"/>
              <w:bottom w:type="dxa" w:w="70"/>
              <w:right w:type="dxa" w:w="100"/>
            </w:tcMar>
            <w:vAlign w:val="top"/>
          </w:tcPr>
          <w:p>
            <w:pPr>
              <w:spacing w:after="0" w:line="252"/>
              <w:jc w:val="left"/>
            </w:pPr>
            <w:r>
              <w:rPr>
                <w:sz w:val="22"/>
                <w:szCs w:val="22"/>
              </w:rPr>
              <w:t xml:space="preserve">2.6</w:t>
            </w:r>
          </w:p>
        </w:tc>
        <w:tc>
          <w:tcPr>
            <w:tcW w:type="dxa" w:w="3468"/>
            <w:tcMar>
              <w:top w:type="dxa" w:w="70"/>
              <w:left w:type="dxa" w:w="100"/>
              <w:bottom w:type="dxa" w:w="70"/>
              <w:right w:type="dxa" w:w="100"/>
            </w:tcMar>
            <w:vAlign w:val="top"/>
          </w:tcPr>
          <w:p>
            <w:pPr>
              <w:spacing w:after="0" w:line="252"/>
              <w:jc w:val="left"/>
            </w:pPr>
            <w:r>
              <w:rPr>
                <w:sz w:val="22"/>
                <w:szCs w:val="22"/>
              </w:rPr>
              <w:t xml:space="preserve">7.0</w:t>
            </w:r>
          </w:p>
        </w:tc>
      </w:tr>
    </w:tbl>
    <w:p>
      <w:pPr>
        <w:spacing w:after="160" w:before="0"/>
      </w:pPr>
    </w:p>
    <w:p>
      <w:pPr>
        <w:spacing w:after="120" w:line="276"/>
      </w:pPr>
      <w:r>
        <w:rPr>
          <w:sz w:val="22"/>
          <w:szCs w:val="22"/>
        </w:rPr>
        <w:t xml:space="preserve">MGD means million gallons per day. Average demand across Year 0 is about 3.4 MGD, and August is the month of peak demand. The permitted withdrawal is the most the state allows Ostlin to take from the river in each month. It does not grow over time.</w:t>
      </w:r>
    </w:p>
    <w:p>
      <w:pPr>
        <w:keepNext/>
        <w:keepLines/>
        <w:spacing w:after="120" w:line="276"/>
      </w:pPr>
      <w:r>
        <w:rPr>
          <w:b/>
          <w:bCs/>
          <w:sz w:val="22"/>
          <w:szCs w:val="22"/>
        </w:rPr>
        <w:t xml:space="preserve">Model rules:</w:t>
      </w:r>
    </w:p>
    <w:p>
      <w:pPr>
        <w:pStyle w:val="ListParagraph"/>
        <w:keepLines/>
        <w:numPr>
          <w:ilvl w:val="0"/>
          <w:numId w:val="3"/>
        </w:numPr>
        <w:spacing w:after="60" w:line="276"/>
        <w:ind w:left="720" w:hanging="360"/>
      </w:pPr>
      <w:r>
        <w:rPr>
          <w:sz w:val="22"/>
          <w:szCs w:val="22"/>
        </w:rPr>
        <w:t xml:space="preserve">Marrow Reservoir holds 1,400 acre-feet of usable storage and is full (1,400 acre-feet) on January 1 of Year 0.</w:t>
      </w:r>
    </w:p>
    <w:p>
      <w:pPr>
        <w:pStyle w:val="ListParagraph"/>
        <w:keepLines/>
        <w:numPr>
          <w:ilvl w:val="0"/>
          <w:numId w:val="3"/>
        </w:numPr>
        <w:spacing w:after="60" w:line="276"/>
        <w:ind w:left="720" w:hanging="360"/>
      </w:pPr>
      <w:r>
        <w:rPr>
          <w:sz w:val="22"/>
          <w:szCs w:val="22"/>
        </w:rPr>
        <w:t xml:space="preserve">The board requires that 300 acre-feet stay in the reservoir at all times as a drought reserve.</w:t>
      </w:r>
    </w:p>
    <w:p>
      <w:pPr>
        <w:pStyle w:val="ListParagraph"/>
        <w:keepLines/>
        <w:numPr>
          <w:ilvl w:val="0"/>
          <w:numId w:val="3"/>
        </w:numPr>
        <w:spacing w:after="60" w:line="276"/>
        <w:ind w:left="720" w:hanging="360"/>
      </w:pPr>
      <w:r>
        <w:rPr>
          <w:sz w:val="22"/>
          <w:szCs w:val="22"/>
        </w:rPr>
        <w:t xml:space="preserve">One acre-foot equals 325,851 gallons, so 1 million gallons equals 1,000,000 ÷ 325,851 acre-feet.</w:t>
      </w:r>
    </w:p>
    <w:p>
      <w:pPr>
        <w:pStyle w:val="ListParagraph"/>
        <w:keepLines/>
        <w:numPr>
          <w:ilvl w:val="0"/>
          <w:numId w:val="3"/>
        </w:numPr>
        <w:spacing w:after="60" w:line="276"/>
        <w:ind w:left="720" w:hanging="360"/>
      </w:pPr>
      <w:r>
        <w:rPr>
          <w:sz w:val="22"/>
          <w:szCs w:val="22"/>
        </w:rPr>
        <w:t xml:space="preserve">Each month, change in storage (acre-feet) = (permitted river withdrawal − demand) × days in the month × 1,000,000 ÷ 325,851. A negative change is a draw on the reservoir.</w:t>
      </w:r>
    </w:p>
    <w:p>
      <w:pPr>
        <w:pStyle w:val="ListParagraph"/>
        <w:keepLines/>
        <w:numPr>
          <w:ilvl w:val="0"/>
          <w:numId w:val="3"/>
        </w:numPr>
        <w:spacing w:after="60" w:line="276"/>
        <w:ind w:left="720" w:hanging="360"/>
      </w:pPr>
      <w:r>
        <w:rPr>
          <w:sz w:val="22"/>
          <w:szCs w:val="22"/>
        </w:rPr>
        <w:t xml:space="preserve">End-of-month storage = previous end-of-month storage + change in storage, except that it can never be more than the reservoir's full capacity. When the river could supply more than the reservoir can hold, the extra is left in the river.</w:t>
      </w:r>
    </w:p>
    <w:p>
      <w:pPr>
        <w:pStyle w:val="ListParagraph"/>
        <w:keepLines/>
        <w:numPr>
          <w:ilvl w:val="0"/>
          <w:numId w:val="3"/>
        </w:numPr>
        <w:spacing w:after="60" w:line="276"/>
        <w:ind w:left="720" w:hanging="360"/>
      </w:pPr>
      <w:r>
        <w:rPr>
          <w:sz w:val="22"/>
          <w:szCs w:val="22"/>
        </w:rPr>
        <w:t xml:space="preserve">Population and demand grow 1.2 percent per year in every month. Demand in Year n = Year 0 demand × 1.012^n, for Years 1 through 15.</w:t>
      </w:r>
    </w:p>
    <w:p>
      <w:pPr>
        <w:pStyle w:val="ListParagraph"/>
        <w:keepLines/>
        <w:numPr>
          <w:ilvl w:val="0"/>
          <w:numId w:val="3"/>
        </w:numPr>
        <w:spacing w:after="60" w:line="276"/>
        <w:ind w:left="720" w:hanging="360"/>
      </w:pPr>
      <w:r>
        <w:rPr>
          <w:sz w:val="22"/>
          <w:szCs w:val="22"/>
        </w:rPr>
        <w:t xml:space="preserve">Storage carries over from December of one year to January of the next, so Year 1 begins from the Year 0 December storage.</w:t>
      </w:r>
    </w:p>
    <w:p>
      <w:pPr>
        <w:spacing w:after="40" w:before="0" w:line="120" w:lineRule="exact"/>
      </w:pPr>
    </w:p>
    <w:p>
      <w:pPr>
        <w:keepNext/>
        <w:keepLines/>
        <w:spacing w:after="120" w:line="276"/>
      </w:pPr>
      <w:r>
        <w:rPr>
          <w:b/>
          <w:bCs/>
          <w:sz w:val="22"/>
          <w:szCs w:val="22"/>
        </w:rPr>
        <w:t xml:space="preserve">Measure price sheet (all figures invented for this project):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548"/>
        <w:gridCol w:w="1739"/>
        <w:gridCol w:w="3793"/>
      </w:tblGrid>
      <w:tr>
        <w:trPr>
          <w:cantSplit/>
          <w:tblHeader/>
        </w:trPr>
        <w:tc>
          <w:tcPr>
            <w:tcW w:type="dxa" w:w="45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w:t>
            </w:r>
          </w:p>
        </w:tc>
        <w:tc>
          <w:tcPr>
            <w:tcW w:type="dxa" w:w="17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Capital cost</w:t>
            </w:r>
          </w:p>
        </w:tc>
        <w:tc>
          <w:tcPr>
            <w:tcW w:type="dxa" w:w="37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Effect in June through September</w:t>
            </w:r>
          </w:p>
        </w:tc>
      </w:tr>
      <w:tr>
        <w:trPr>
          <w:cantSplit/>
        </w:trPr>
        <w:tc>
          <w:tcPr>
            <w:tcW w:type="dxa" w:w="4548"/>
            <w:tcMar>
              <w:top w:type="dxa" w:w="70"/>
              <w:left w:type="dxa" w:w="100"/>
              <w:bottom w:type="dxa" w:w="70"/>
              <w:right w:type="dxa" w:w="100"/>
            </w:tcMar>
            <w:vAlign w:val="top"/>
          </w:tcPr>
          <w:p>
            <w:pPr>
              <w:keepNext/>
              <w:spacing w:after="0" w:line="252"/>
              <w:jc w:val="left"/>
            </w:pPr>
            <w:r>
              <w:rPr>
                <w:sz w:val="22"/>
                <w:szCs w:val="22"/>
              </w:rPr>
              <w:t xml:space="preserve">Tiered summer rate structure</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$120,000</w:t>
            </w:r>
          </w:p>
        </w:tc>
        <w:tc>
          <w:tcPr>
            <w:tcW w:type="dxa" w:w="3793"/>
            <w:tcMar>
              <w:top w:type="dxa" w:w="70"/>
              <w:left w:type="dxa" w:w="100"/>
              <w:bottom w:type="dxa" w:w="70"/>
              <w:right w:type="dxa" w:w="100"/>
            </w:tcMar>
            <w:vAlign w:val="top"/>
          </w:tcPr>
          <w:p>
            <w:pPr>
              <w:keepNext/>
              <w:spacing w:after="0" w:line="252"/>
              <w:jc w:val="left"/>
            </w:pPr>
            <w:r>
              <w:rPr>
                <w:sz w:val="22"/>
                <w:szCs w:val="22"/>
              </w:rPr>
              <w:t xml:space="preserve">Reduces demand by 0.30 MGD</w:t>
            </w:r>
          </w:p>
        </w:tc>
      </w:tr>
      <w:tr>
        <w:trPr>
          <w:cantSplit/>
        </w:trPr>
        <w:tc>
          <w:tcPr>
            <w:tcW w:type="dxa" w:w="4548"/>
            <w:tcMar>
              <w:top w:type="dxa" w:w="70"/>
              <w:left w:type="dxa" w:w="100"/>
              <w:bottom w:type="dxa" w:w="70"/>
              <w:right w:type="dxa" w:w="100"/>
            </w:tcMar>
            <w:vAlign w:val="top"/>
          </w:tcPr>
          <w:p>
            <w:pPr>
              <w:keepNext/>
              <w:spacing w:after="0" w:line="252"/>
              <w:jc w:val="left"/>
            </w:pPr>
            <w:r>
              <w:rPr>
                <w:sz w:val="22"/>
                <w:szCs w:val="22"/>
              </w:rPr>
              <w:t xml:space="preserve">Irrigation timer and rain barrel rebates</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$150,000</w:t>
            </w:r>
          </w:p>
        </w:tc>
        <w:tc>
          <w:tcPr>
            <w:tcW w:type="dxa" w:w="3793"/>
            <w:tcMar>
              <w:top w:type="dxa" w:w="70"/>
              <w:left w:type="dxa" w:w="100"/>
              <w:bottom w:type="dxa" w:w="70"/>
              <w:right w:type="dxa" w:w="100"/>
            </w:tcMar>
            <w:vAlign w:val="top"/>
          </w:tcPr>
          <w:p>
            <w:pPr>
              <w:keepNext/>
              <w:spacing w:after="0" w:line="252"/>
              <w:jc w:val="left"/>
            </w:pPr>
            <w:r>
              <w:rPr>
                <w:sz w:val="22"/>
                <w:szCs w:val="22"/>
              </w:rPr>
              <w:t xml:space="preserve">Reduces demand by 0.05 MGD</w:t>
            </w:r>
          </w:p>
        </w:tc>
      </w:tr>
      <w:tr>
        <w:trPr>
          <w:cantSplit/>
        </w:trPr>
        <w:tc>
          <w:tcPr>
            <w:tcW w:type="dxa" w:w="4548"/>
            <w:tcMar>
              <w:top w:type="dxa" w:w="70"/>
              <w:left w:type="dxa" w:w="100"/>
              <w:bottom w:type="dxa" w:w="70"/>
              <w:right w:type="dxa" w:w="100"/>
            </w:tcMar>
            <w:vAlign w:val="top"/>
          </w:tcPr>
          <w:p>
            <w:pPr>
              <w:keepNext/>
              <w:spacing w:after="0" w:line="252"/>
              <w:jc w:val="left"/>
            </w:pPr>
            <w:r>
              <w:rPr>
                <w:sz w:val="22"/>
                <w:szCs w:val="22"/>
              </w:rPr>
              <w:t xml:space="preserve">Turf replacement rebates for 400 homes</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$600,000</w:t>
            </w:r>
          </w:p>
        </w:tc>
        <w:tc>
          <w:tcPr>
            <w:tcW w:type="dxa" w:w="3793"/>
            <w:tcMar>
              <w:top w:type="dxa" w:w="70"/>
              <w:left w:type="dxa" w:w="100"/>
              <w:bottom w:type="dxa" w:w="70"/>
              <w:right w:type="dxa" w:w="100"/>
            </w:tcMar>
            <w:vAlign w:val="top"/>
          </w:tcPr>
          <w:p>
            <w:pPr>
              <w:keepNext/>
              <w:spacing w:after="0" w:line="252"/>
              <w:jc w:val="left"/>
            </w:pPr>
            <w:r>
              <w:rPr>
                <w:sz w:val="22"/>
                <w:szCs w:val="22"/>
              </w:rPr>
              <w:t xml:space="preserve">Reduces demand by 0.20 MGD</w:t>
            </w:r>
          </w:p>
        </w:tc>
      </w:tr>
      <w:tr>
        <w:trPr>
          <w:cantSplit/>
        </w:trPr>
        <w:tc>
          <w:tcPr>
            <w:tcW w:type="dxa" w:w="4548"/>
            <w:tcMar>
              <w:top w:type="dxa" w:w="70"/>
              <w:left w:type="dxa" w:w="100"/>
              <w:bottom w:type="dxa" w:w="70"/>
              <w:right w:type="dxa" w:w="100"/>
            </w:tcMar>
            <w:vAlign w:val="top"/>
          </w:tcPr>
          <w:p>
            <w:pPr>
              <w:keepNext/>
              <w:spacing w:after="0" w:line="252"/>
              <w:jc w:val="left"/>
            </w:pPr>
            <w:r>
              <w:rPr>
                <w:sz w:val="22"/>
                <w:szCs w:val="22"/>
              </w:rPr>
              <w:t xml:space="preserve">Leak detection and repair program</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$850,000</w:t>
            </w:r>
          </w:p>
        </w:tc>
        <w:tc>
          <w:tcPr>
            <w:tcW w:type="dxa" w:w="3793"/>
            <w:tcMar>
              <w:top w:type="dxa" w:w="70"/>
              <w:left w:type="dxa" w:w="100"/>
              <w:bottom w:type="dxa" w:w="70"/>
              <w:right w:type="dxa" w:w="100"/>
            </w:tcMar>
            <w:vAlign w:val="top"/>
          </w:tcPr>
          <w:p>
            <w:pPr>
              <w:keepNext/>
              <w:spacing w:after="0" w:line="252"/>
              <w:jc w:val="left"/>
            </w:pPr>
            <w:r>
              <w:rPr>
                <w:sz w:val="22"/>
                <w:szCs w:val="22"/>
              </w:rPr>
              <w:t xml:space="preserve">Reduces demand by 0.25 MGD</w:t>
            </w:r>
          </w:p>
        </w:tc>
      </w:tr>
      <w:tr>
        <w:trPr>
          <w:cantSplit/>
        </w:trPr>
        <w:tc>
          <w:tcPr>
            <w:tcW w:type="dxa" w:w="4548"/>
            <w:tcMar>
              <w:top w:type="dxa" w:w="70"/>
              <w:left w:type="dxa" w:w="100"/>
              <w:bottom w:type="dxa" w:w="70"/>
              <w:right w:type="dxa" w:w="100"/>
            </w:tcMar>
            <w:vAlign w:val="top"/>
          </w:tcPr>
          <w:p>
            <w:pPr>
              <w:keepNext/>
              <w:spacing w:after="0" w:line="252"/>
              <w:jc w:val="left"/>
            </w:pPr>
            <w:r>
              <w:rPr>
                <w:sz w:val="22"/>
                <w:szCs w:val="22"/>
              </w:rPr>
              <w:t xml:space="preserve">Reclaimed water line to the ballfields and cemetery</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$2,400,000</w:t>
            </w:r>
          </w:p>
        </w:tc>
        <w:tc>
          <w:tcPr>
            <w:tcW w:type="dxa" w:w="3793"/>
            <w:tcMar>
              <w:top w:type="dxa" w:w="70"/>
              <w:left w:type="dxa" w:w="100"/>
              <w:bottom w:type="dxa" w:w="70"/>
              <w:right w:type="dxa" w:w="100"/>
            </w:tcMar>
            <w:vAlign w:val="top"/>
          </w:tcPr>
          <w:p>
            <w:pPr>
              <w:keepNext/>
              <w:spacing w:after="0" w:line="252"/>
              <w:jc w:val="left"/>
            </w:pPr>
            <w:r>
              <w:rPr>
                <w:sz w:val="22"/>
                <w:szCs w:val="22"/>
              </w:rPr>
              <w:t xml:space="preserve">Reduces demand by 0.45 MGD</w:t>
            </w:r>
          </w:p>
        </w:tc>
      </w:tr>
      <w:tr>
        <w:trPr>
          <w:cantSplit/>
        </w:trPr>
        <w:tc>
          <w:tcPr>
            <w:tcW w:type="dxa" w:w="4548"/>
            <w:tcMar>
              <w:top w:type="dxa" w:w="70"/>
              <w:left w:type="dxa" w:w="100"/>
              <w:bottom w:type="dxa" w:w="70"/>
              <w:right w:type="dxa" w:w="100"/>
            </w:tcMar>
            <w:vAlign w:val="top"/>
          </w:tcPr>
          <w:p>
            <w:pPr>
              <w:keepNext/>
              <w:spacing w:after="0" w:line="252"/>
              <w:jc w:val="left"/>
            </w:pPr>
            <w:r>
              <w:rPr>
                <w:sz w:val="22"/>
                <w:szCs w:val="22"/>
              </w:rPr>
              <w:t xml:space="preserve">New well in the Tarnfield Sand aquifer</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$3,100,000</w:t>
            </w:r>
          </w:p>
        </w:tc>
        <w:tc>
          <w:tcPr>
            <w:tcW w:type="dxa" w:w="3793"/>
            <w:tcMar>
              <w:top w:type="dxa" w:w="70"/>
              <w:left w:type="dxa" w:w="100"/>
              <w:bottom w:type="dxa" w:w="70"/>
              <w:right w:type="dxa" w:w="100"/>
            </w:tcMar>
            <w:vAlign w:val="top"/>
          </w:tcPr>
          <w:p>
            <w:pPr>
              <w:keepNext/>
              <w:spacing w:after="0" w:line="252"/>
              <w:jc w:val="left"/>
            </w:pPr>
            <w:r>
              <w:rPr>
                <w:sz w:val="22"/>
                <w:szCs w:val="22"/>
              </w:rPr>
              <w:t xml:space="preserve">Adds 0.90 MGD of supply</w:t>
            </w:r>
          </w:p>
        </w:tc>
      </w:tr>
      <w:tr>
        <w:trPr>
          <w:cantSplit/>
        </w:trPr>
        <w:tc>
          <w:tcPr>
            <w:tcW w:type="dxa" w:w="4548"/>
            <w:tcMar>
              <w:top w:type="dxa" w:w="70"/>
              <w:left w:type="dxa" w:w="100"/>
              <w:bottom w:type="dxa" w:w="70"/>
              <w:right w:type="dxa" w:w="100"/>
            </w:tcMar>
            <w:vAlign w:val="top"/>
          </w:tcPr>
          <w:p>
            <w:pPr>
              <w:spacing w:after="0" w:line="252"/>
              <w:jc w:val="left"/>
            </w:pPr>
            <w:r>
              <w:rPr>
                <w:sz w:val="22"/>
                <w:szCs w:val="22"/>
              </w:rPr>
              <w:t xml:space="preserve">Dredging to restore reservoir storage</w:t>
            </w:r>
          </w:p>
        </w:tc>
        <w:tc>
          <w:tcPr>
            <w:tcW w:type="dxa" w:w="1739"/>
            <w:tcMar>
              <w:top w:type="dxa" w:w="70"/>
              <w:left w:type="dxa" w:w="100"/>
              <w:bottom w:type="dxa" w:w="70"/>
              <w:right w:type="dxa" w:w="100"/>
            </w:tcMar>
            <w:vAlign w:val="top"/>
          </w:tcPr>
          <w:p>
            <w:pPr>
              <w:spacing w:after="0" w:line="252"/>
              <w:jc w:val="left"/>
            </w:pPr>
            <w:r>
              <w:rPr>
                <w:sz w:val="22"/>
                <w:szCs w:val="22"/>
              </w:rPr>
              <w:t xml:space="preserve">$1,800,000</w:t>
            </w:r>
          </w:p>
        </w:tc>
        <w:tc>
          <w:tcPr>
            <w:tcW w:type="dxa" w:w="3793"/>
            <w:tcMar>
              <w:top w:type="dxa" w:w="70"/>
              <w:left w:type="dxa" w:w="100"/>
              <w:bottom w:type="dxa" w:w="70"/>
              <w:right w:type="dxa" w:w="100"/>
            </w:tcMar>
            <w:vAlign w:val="top"/>
          </w:tcPr>
          <w:p>
            <w:pPr>
              <w:spacing w:after="0" w:line="252"/>
              <w:jc w:val="left"/>
            </w:pPr>
            <w:r>
              <w:rPr>
                <w:sz w:val="22"/>
                <w:szCs w:val="22"/>
              </w:rPr>
              <w:t xml:space="preserve">Raises full capacity from 1,400 to 1,580 acre-feet</w:t>
            </w:r>
          </w:p>
        </w:tc>
      </w:tr>
    </w:tbl>
    <w:p>
      <w:pPr>
        <w:spacing w:after="160" w:before="0"/>
      </w:pPr>
    </w:p>
    <w:p>
      <w:pPr>
        <w:spacing w:after="120" w:line="276"/>
      </w:pPr>
      <w:r>
        <w:rPr>
          <w:sz w:val="22"/>
          <w:szCs w:val="22"/>
        </w:rPr>
        <w:t xml:space="preserve">Each measure may be chosen once. Assume every chosen measure is in place by January 1 of Year 1. Apply each demand reduction or added supply only in June, July, August, and September, the months when the town draws on the reservoir in a normal year, and leave the other eight months unchanged. Dredging raises the full capacity in every month from Year 1 on, and the larger reservoir fills from the January surplus. The drought reserve stays at 300 acre-feet.</w:t>
      </w:r>
    </w:p>
    <w:p>
      <w:pPr>
        <w:keepNext/>
        <w:keepLines/>
        <w:spacing w:after="120" w:line="276"/>
      </w:pPr>
      <w:r>
        <w:rPr>
          <w:b/>
          <w:bCs/>
          <w:sz w:val="22"/>
          <w:szCs w:val="22"/>
        </w:rPr>
        <w:t xml:space="preserve">Constraints:</w:t>
      </w:r>
    </w:p>
    <w:p>
      <w:pPr>
        <w:pStyle w:val="ListParagraph"/>
        <w:keepLines/>
        <w:numPr>
          <w:ilvl w:val="0"/>
          <w:numId w:val="4"/>
        </w:numPr>
        <w:spacing w:after="60" w:line="276"/>
        <w:ind w:left="720" w:hanging="360"/>
      </w:pPr>
      <w:r>
        <w:rPr>
          <w:sz w:val="22"/>
          <w:szCs w:val="22"/>
        </w:rPr>
        <w:t xml:space="preserve">Total capital spending must stay at or below $6,000,000.</w:t>
      </w:r>
    </w:p>
    <w:p>
      <w:pPr>
        <w:pStyle w:val="ListParagraph"/>
        <w:keepLines/>
        <w:numPr>
          <w:ilvl w:val="0"/>
          <w:numId w:val="4"/>
        </w:numPr>
        <w:spacing w:after="60" w:line="276"/>
        <w:ind w:left="720" w:hanging="360"/>
      </w:pPr>
      <w:r>
        <w:rPr>
          <w:sz w:val="22"/>
          <w:szCs w:val="22"/>
        </w:rPr>
        <w:t xml:space="preserve">The reservoir must never fall below the 300 acre-foot drought reserve in any modeled month of Years 1 through 15.</w:t>
      </w:r>
    </w:p>
    <w:p>
      <w:pPr>
        <w:pStyle w:val="ListParagraph"/>
        <w:keepLines/>
        <w:numPr>
          <w:ilvl w:val="0"/>
          <w:numId w:val="4"/>
        </w:numPr>
        <w:spacing w:after="60" w:line="276"/>
        <w:ind w:left="720" w:hanging="360"/>
      </w:pPr>
      <w:r>
        <w:rPr>
          <w:sz w:val="22"/>
          <w:szCs w:val="22"/>
        </w:rPr>
        <w:t xml:space="preserve">The plan must still meet the reserve when Years 14 and 15 are both dry years. In a dry year, the permitted river withdrawal in every month is 75 percent of the table value. Years 14 and 15 are used because demand is highest at the end of the plan.</w:t>
      </w:r>
    </w:p>
    <w:p>
      <w:pPr>
        <w:pStyle w:val="ListParagraph"/>
        <w:keepLines/>
        <w:numPr>
          <w:ilvl w:val="0"/>
          <w:numId w:val="4"/>
        </w:numPr>
        <w:spacing w:after="60" w:line="276"/>
        <w:ind w:left="720" w:hanging="360"/>
      </w:pPr>
      <w:r>
        <w:rPr>
          <w:sz w:val="22"/>
          <w:szCs w:val="22"/>
        </w:rPr>
        <w:t xml:space="preserve">At least one measure must reduce demand rather than add supply or storage.</w:t>
      </w:r>
    </w:p>
    <w:p>
      <w:pPr>
        <w:spacing w:after="40" w:before="0" w:line="120" w:lineRule="exact"/>
      </w:pPr>
    </w:p>
    <w:p>
      <w:pPr>
        <w:spacing w:after="120" w:line="276"/>
      </w:pPr>
      <w:r>
        <w:rPr>
          <w:b/>
          <w:bCs/>
          <w:sz w:val="22"/>
          <w:szCs w:val="22"/>
        </w:rPr>
        <w:t xml:space="preserve">Final deliverable:</w:t>
      </w:r>
      <w:r>
        <w:rPr>
          <w:sz w:val="22"/>
          <w:szCs w:val="22"/>
        </w:rPr>
        <w:t xml:space="preserve"> A spreadsheet model, a two-page written plan addressed to the fictional Ostlin water board, and a five-minute presentation. The written plan must name the chosen measures, state the total cost, state the first year the reservoir falls below the reserve without any action, and show the reservoir's lowest storage under the plan in normal years, in the two dry years, and with 2.4 percent growth.</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build the baseline:</w:t>
      </w:r>
      <w:r>
        <w:rPr>
          <w:sz w:val="22"/>
          <w:szCs w:val="22"/>
        </w:rPr>
        <w:t xml:space="preserve"> Teams enter the Year 0 baseline data table and write formulas for each month's change in storage and end-of-month storage, starting from a full reservoir on January 1. They convert the August shortfall from million gallons per day into acre-feet for the month. Output: a twelve-month Year 0 table showing the change in storage and end-of-month storage for every month, with the August draw and the lowest storage of the year stated in acre-feet.</w:t>
      </w:r>
    </w:p>
    <w:p>
      <w:pPr>
        <w:pStyle w:val="ListParagraph"/>
        <w:keepLines/>
        <w:numPr>
          <w:ilvl w:val="0"/>
          <w:numId w:val="5"/>
        </w:numPr>
        <w:spacing w:after="60" w:line="276"/>
        <w:ind w:left="720" w:hanging="360"/>
      </w:pPr>
      <w:r>
        <w:rPr>
          <w:b/>
          <w:bCs/>
          <w:sz w:val="22"/>
          <w:szCs w:val="22"/>
        </w:rPr>
        <w:t xml:space="preserve">Session 2, project fifteen years:</w:t>
      </w:r>
      <w:r>
        <w:rPr>
          <w:sz w:val="22"/>
          <w:szCs w:val="22"/>
        </w:rPr>
        <w:t xml:space="preserve"> Teams add the growth factor 1.012^n to the demand column and extend the model through Year 15, carrying storage from each December into the next January. They identify the first year in which the reservoir falls below the 300 acre-foot reserve with no action, and they graph each year's lowest storage against year with both axes labeled and scaled and a horizontal line at 300 acre-feet. Output: a fifteen-year projection, the storage graph, and a stated shortfall year.</w:t>
      </w:r>
    </w:p>
    <w:p>
      <w:pPr>
        <w:pStyle w:val="ListParagraph"/>
        <w:keepLines/>
        <w:numPr>
          <w:ilvl w:val="0"/>
          <w:numId w:val="5"/>
        </w:numPr>
        <w:spacing w:after="60" w:line="276"/>
        <w:ind w:left="720" w:hanging="360"/>
      </w:pPr>
      <w:r>
        <w:rPr>
          <w:b/>
          <w:bCs/>
          <w:sz w:val="22"/>
          <w:szCs w:val="22"/>
        </w:rPr>
        <w:t xml:space="preserve">Session 3, choose a package:</w:t>
      </w:r>
      <w:r>
        <w:rPr>
          <w:sz w:val="22"/>
          <w:szCs w:val="22"/>
        </w:rPr>
        <w:t xml:space="preserve"> Teams select measures from the price sheet, add a June-through-September adjustment to their demand or supply columns, and confirm the total cost stays at or below $6,000,000. Output: an itemized package with total cost, the combined June-through-September effect in MGD, and the lowest storage in any month of Years 1 through 15.</w:t>
      </w:r>
    </w:p>
    <w:p>
      <w:pPr>
        <w:pStyle w:val="ListParagraph"/>
        <w:keepLines/>
        <w:numPr>
          <w:ilvl w:val="0"/>
          <w:numId w:val="5"/>
        </w:numPr>
        <w:spacing w:after="60" w:line="276"/>
        <w:ind w:left="720" w:hanging="360"/>
      </w:pPr>
      <w:r>
        <w:rPr>
          <w:b/>
          <w:bCs/>
          <w:sz w:val="22"/>
          <w:szCs w:val="22"/>
        </w:rPr>
        <w:t xml:space="preserve">Session 4, stress test and revise:</w:t>
      </w:r>
      <w:r>
        <w:rPr>
          <w:sz w:val="22"/>
          <w:szCs w:val="22"/>
        </w:rPr>
        <w:t xml:space="preserve"> Teams rerun the model twice, once with Years 14 and 15 as dry years at 75 percent of the permitted river withdrawal, and once with growth at 2.4 percent per year instead of 1.2 percent. For each run they record the lowest storage, the month and year it occurs, and whether the drought reserve holds. If it fails, they revise the package and confirm the revised cost still fits the budget. Output: two stress-test results and a revised package with its new total cost.</w:t>
      </w:r>
    </w:p>
    <w:p>
      <w:pPr>
        <w:pStyle w:val="ListParagraph"/>
        <w:keepLines/>
        <w:numPr>
          <w:ilvl w:val="0"/>
          <w:numId w:val="5"/>
        </w:numPr>
        <w:spacing w:after="60" w:line="276"/>
        <w:ind w:left="720" w:hanging="360"/>
      </w:pPr>
      <w:r>
        <w:rPr>
          <w:b/>
          <w:bCs/>
          <w:sz w:val="22"/>
          <w:szCs w:val="22"/>
        </w:rPr>
        <w:t xml:space="preserve">Session 5, write and present:</w:t>
      </w:r>
      <w:r>
        <w:rPr>
          <w:sz w:val="22"/>
          <w:szCs w:val="22"/>
        </w:rPr>
        <w:t xml:space="preserve"> Teams write the two-page plan and present it to the class acting as the fictional Ostlin water board, which asks one question of each team and votes. Output: the written plan and the completed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Ostlin's Drought Plan: A Spreadsheet Water Budget</w:t>
      </w:r>
    </w:p>
    <w:p>
      <w:pPr>
        <w:keepNext/>
        <w:spacing w:after="160"/>
      </w:pPr>
      <w:r>
        <w:rPr>
          <w:color w:val="5B6B70"/>
          <w:sz w:val="20"/>
          <w:szCs w:val="20"/>
        </w:rPr>
        <w:t xml:space="preserve">Project · Grade 10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31"/>
        <w:gridCol w:w="3281"/>
        <w:gridCol w:w="3280"/>
        <w:gridCol w:w="328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Model construction</w:t>
            </w:r>
          </w:p>
        </w:tc>
        <w:tc>
          <w:tcPr>
            <w:tcW w:type="dxa" w:w="2331"/>
            <w:tcMar>
              <w:top w:type="dxa" w:w="70"/>
              <w:left w:type="dxa" w:w="100"/>
              <w:bottom w:type="dxa" w:w="70"/>
              <w:right w:type="dxa" w:w="100"/>
            </w:tcMar>
            <w:vAlign w:val="top"/>
          </w:tcPr>
          <w:p>
            <w:pPr>
              <w:keepNext/>
              <w:spacing w:after="0" w:line="252"/>
              <w:jc w:val="left"/>
            </w:pPr>
            <w:r>
              <w:rPr>
                <w:sz w:val="20"/>
                <w:szCs w:val="20"/>
              </w:rPr>
              <w:t xml:space="preserve">Table is incomplete or the supply and demand columns do not connect to storage</w:t>
            </w:r>
          </w:p>
        </w:tc>
        <w:tc>
          <w:tcPr>
            <w:tcW w:type="dxa" w:w="3281"/>
            <w:tcMar>
              <w:top w:type="dxa" w:w="70"/>
              <w:left w:type="dxa" w:w="100"/>
              <w:bottom w:type="dxa" w:w="70"/>
              <w:right w:type="dxa" w:w="100"/>
            </w:tcMar>
            <w:vAlign w:val="top"/>
          </w:tcPr>
          <w:p>
            <w:pPr>
              <w:keepNext/>
              <w:spacing w:after="0" w:line="252"/>
              <w:jc w:val="left"/>
            </w:pPr>
            <w:r>
              <w:rPr>
                <w:sz w:val="20"/>
                <w:szCs w:val="20"/>
              </w:rPr>
              <w:t xml:space="preserve">Model balances one month but formulas are entered by hand rather than linked, or storage is allowed to rise above full capacity</w:t>
            </w:r>
          </w:p>
        </w:tc>
        <w:tc>
          <w:tcPr>
            <w:tcW w:type="dxa" w:w="3280"/>
            <w:tcMar>
              <w:top w:type="dxa" w:w="70"/>
              <w:left w:type="dxa" w:w="100"/>
              <w:bottom w:type="dxa" w:w="70"/>
              <w:right w:type="dxa" w:w="100"/>
            </w:tcMar>
            <w:vAlign w:val="top"/>
          </w:tcPr>
          <w:p>
            <w:pPr>
              <w:keepNext/>
              <w:spacing w:after="0" w:line="252"/>
              <w:jc w:val="left"/>
            </w:pPr>
            <w:r>
              <w:rPr>
                <w:sz w:val="20"/>
                <w:szCs w:val="20"/>
              </w:rPr>
              <w:t xml:space="preserve">Model links demand, river supply, and reservoir storage across all twelve months and fifteen years, caps storage at full capacity, and matches the Year 0 values in the teacher reference</w:t>
            </w:r>
          </w:p>
        </w:tc>
        <w:tc>
          <w:tcPr>
            <w:tcW w:type="dxa" w:w="3280"/>
            <w:tcMar>
              <w:top w:type="dxa" w:w="70"/>
              <w:left w:type="dxa" w:w="100"/>
              <w:bottom w:type="dxa" w:w="70"/>
              <w:right w:type="dxa" w:w="100"/>
            </w:tcMar>
            <w:vAlign w:val="top"/>
          </w:tcPr>
          <w:p>
            <w:pPr>
              <w:keepNext/>
              <w:spacing w:after="0" w:line="252"/>
              <w:jc w:val="left"/>
            </w:pPr>
            <w:r>
              <w:rPr>
                <w:sz w:val="20"/>
                <w:szCs w:val="20"/>
              </w:rPr>
              <w:t xml:space="preserve">Model is fully linked, clearly labeled, and lets the growth rate, dry years, or any measure be changed without rebuilding the sheet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constraints</w:t>
            </w:r>
          </w:p>
        </w:tc>
        <w:tc>
          <w:tcPr>
            <w:tcW w:type="dxa" w:w="2331"/>
            <w:tcMar>
              <w:top w:type="dxa" w:w="70"/>
              <w:left w:type="dxa" w:w="100"/>
              <w:bottom w:type="dxa" w:w="70"/>
              <w:right w:type="dxa" w:w="100"/>
            </w:tcMar>
            <w:vAlign w:val="top"/>
          </w:tcPr>
          <w:p>
            <w:pPr>
              <w:keepNext/>
              <w:spacing w:after="0" w:line="252"/>
              <w:jc w:val="left"/>
            </w:pPr>
            <w:r>
              <w:rPr>
                <w:sz w:val="20"/>
                <w:szCs w:val="20"/>
              </w:rPr>
              <w:t xml:space="preserve">Package ignores the budget cap or the drought reserve</w:t>
            </w:r>
          </w:p>
        </w:tc>
        <w:tc>
          <w:tcPr>
            <w:tcW w:type="dxa" w:w="3281"/>
            <w:tcMar>
              <w:top w:type="dxa" w:w="70"/>
              <w:left w:type="dxa" w:w="100"/>
              <w:bottom w:type="dxa" w:w="70"/>
              <w:right w:type="dxa" w:w="100"/>
            </w:tcMar>
            <w:vAlign w:val="top"/>
          </w:tcPr>
          <w:p>
            <w:pPr>
              <w:keepNext/>
              <w:spacing w:after="0" w:line="252"/>
              <w:jc w:val="left"/>
            </w:pPr>
            <w:r>
              <w:rPr>
                <w:sz w:val="20"/>
                <w:szCs w:val="20"/>
              </w:rPr>
              <w:t xml:space="preserve">Package meets one constraint but not the other</w:t>
            </w:r>
          </w:p>
        </w:tc>
        <w:tc>
          <w:tcPr>
            <w:tcW w:type="dxa" w:w="3280"/>
            <w:tcMar>
              <w:top w:type="dxa" w:w="70"/>
              <w:left w:type="dxa" w:w="100"/>
              <w:bottom w:type="dxa" w:w="70"/>
              <w:right w:type="dxa" w:w="100"/>
            </w:tcMar>
            <w:vAlign w:val="top"/>
          </w:tcPr>
          <w:p>
            <w:pPr>
              <w:keepNext/>
              <w:spacing w:after="0" w:line="252"/>
              <w:jc w:val="left"/>
            </w:pPr>
            <w:r>
              <w:rPr>
                <w:sz w:val="20"/>
                <w:szCs w:val="20"/>
              </w:rPr>
              <w:t xml:space="preserve">Package meets the budget cap and keeps the reservoir at or above 300 acre-feet in every modeled month, including the two dry years</w:t>
            </w:r>
          </w:p>
        </w:tc>
        <w:tc>
          <w:tcPr>
            <w:tcW w:type="dxa" w:w="3280"/>
            <w:tcMar>
              <w:top w:type="dxa" w:w="70"/>
              <w:left w:type="dxa" w:w="100"/>
              <w:bottom w:type="dxa" w:w="70"/>
              <w:right w:type="dxa" w:w="100"/>
            </w:tcMar>
            <w:vAlign w:val="top"/>
          </w:tcPr>
          <w:p>
            <w:pPr>
              <w:keepNext/>
              <w:spacing w:after="0" w:line="252"/>
              <w:jc w:val="left"/>
            </w:pPr>
            <w:r>
              <w:rPr>
                <w:sz w:val="20"/>
                <w:szCs w:val="20"/>
              </w:rPr>
              <w:t xml:space="preserve">Package meets both constraints with a stated margin and the plan explains the trade-off behind each measure chosen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Stress testing</w:t>
            </w:r>
          </w:p>
        </w:tc>
        <w:tc>
          <w:tcPr>
            <w:tcW w:type="dxa" w:w="2331"/>
            <w:tcMar>
              <w:top w:type="dxa" w:w="70"/>
              <w:left w:type="dxa" w:w="100"/>
              <w:bottom w:type="dxa" w:w="70"/>
              <w:right w:type="dxa" w:w="100"/>
            </w:tcMar>
            <w:vAlign w:val="top"/>
          </w:tcPr>
          <w:p>
            <w:pPr>
              <w:keepNext/>
              <w:spacing w:after="0" w:line="252"/>
              <w:jc w:val="left"/>
            </w:pPr>
            <w:r>
              <w:rPr>
                <w:sz w:val="20"/>
                <w:szCs w:val="20"/>
              </w:rPr>
              <w:t xml:space="preserve">No stress test attempted</w:t>
            </w:r>
          </w:p>
        </w:tc>
        <w:tc>
          <w:tcPr>
            <w:tcW w:type="dxa" w:w="3281"/>
            <w:tcMar>
              <w:top w:type="dxa" w:w="70"/>
              <w:left w:type="dxa" w:w="100"/>
              <w:bottom w:type="dxa" w:w="70"/>
              <w:right w:type="dxa" w:w="100"/>
            </w:tcMar>
            <w:vAlign w:val="top"/>
          </w:tcPr>
          <w:p>
            <w:pPr>
              <w:keepNext/>
              <w:spacing w:after="0" w:line="252"/>
              <w:jc w:val="left"/>
            </w:pPr>
            <w:r>
              <w:rPr>
                <w:sz w:val="20"/>
                <w:szCs w:val="20"/>
              </w:rPr>
              <w:t xml:space="preserve">One stress test run but results not interpreted</w:t>
            </w:r>
          </w:p>
        </w:tc>
        <w:tc>
          <w:tcPr>
            <w:tcW w:type="dxa" w:w="3280"/>
            <w:tcMar>
              <w:top w:type="dxa" w:w="70"/>
              <w:left w:type="dxa" w:w="100"/>
              <w:bottom w:type="dxa" w:w="70"/>
              <w:right w:type="dxa" w:w="100"/>
            </w:tcMar>
            <w:vAlign w:val="top"/>
          </w:tcPr>
          <w:p>
            <w:pPr>
              <w:keepNext/>
              <w:spacing w:after="0" w:line="252"/>
              <w:jc w:val="left"/>
            </w:pPr>
            <w:r>
              <w:rPr>
                <w:sz w:val="20"/>
                <w:szCs w:val="20"/>
              </w:rPr>
              <w:t xml:space="preserve">Both stress tests run and the failing constraint, month, and year identified</w:t>
            </w:r>
          </w:p>
        </w:tc>
        <w:tc>
          <w:tcPr>
            <w:tcW w:type="dxa" w:w="3280"/>
            <w:tcMar>
              <w:top w:type="dxa" w:w="70"/>
              <w:left w:type="dxa" w:w="100"/>
              <w:bottom w:type="dxa" w:w="70"/>
              <w:right w:type="dxa" w:w="100"/>
            </w:tcMar>
            <w:vAlign w:val="top"/>
          </w:tcPr>
          <w:p>
            <w:pPr>
              <w:keepNext/>
              <w:spacing w:after="0" w:line="252"/>
              <w:jc w:val="left"/>
            </w:pPr>
            <w:r>
              <w:rPr>
                <w:sz w:val="20"/>
                <w:szCs w:val="20"/>
              </w:rPr>
              <w:t xml:space="preserve">Both stress tests run, the failing constraint identified, and the package revised with a stated reason and a cost comparison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Written plan and presentation</w:t>
            </w:r>
          </w:p>
        </w:tc>
        <w:tc>
          <w:tcPr>
            <w:tcW w:type="dxa" w:w="2331"/>
            <w:tcMar>
              <w:top w:type="dxa" w:w="70"/>
              <w:left w:type="dxa" w:w="100"/>
              <w:bottom w:type="dxa" w:w="70"/>
              <w:right w:type="dxa" w:w="100"/>
            </w:tcMar>
            <w:vAlign w:val="top"/>
          </w:tcPr>
          <w:p>
            <w:pPr>
              <w:spacing w:after="0" w:line="252"/>
              <w:jc w:val="left"/>
            </w:pPr>
            <w:r>
              <w:rPr>
                <w:sz w:val="20"/>
                <w:szCs w:val="20"/>
              </w:rPr>
              <w:t xml:space="preserve">Plan omits the cost or the shortfall year</w:t>
            </w:r>
          </w:p>
        </w:tc>
        <w:tc>
          <w:tcPr>
            <w:tcW w:type="dxa" w:w="3281"/>
            <w:tcMar>
              <w:top w:type="dxa" w:w="70"/>
              <w:left w:type="dxa" w:w="100"/>
              <w:bottom w:type="dxa" w:w="70"/>
              <w:right w:type="dxa" w:w="100"/>
            </w:tcMar>
            <w:vAlign w:val="top"/>
          </w:tcPr>
          <w:p>
            <w:pPr>
              <w:spacing w:after="0" w:line="252"/>
              <w:jc w:val="left"/>
            </w:pPr>
            <w:r>
              <w:rPr>
                <w:sz w:val="20"/>
                <w:szCs w:val="20"/>
              </w:rPr>
              <w:t xml:space="preserve">Plan reports results without explaining the reasoning</w:t>
            </w:r>
          </w:p>
        </w:tc>
        <w:tc>
          <w:tcPr>
            <w:tcW w:type="dxa" w:w="3280"/>
            <w:tcMar>
              <w:top w:type="dxa" w:w="70"/>
              <w:left w:type="dxa" w:w="100"/>
              <w:bottom w:type="dxa" w:w="70"/>
              <w:right w:type="dxa" w:w="100"/>
            </w:tcMar>
            <w:vAlign w:val="top"/>
          </w:tcPr>
          <w:p>
            <w:pPr>
              <w:spacing w:after="0" w:line="252"/>
              <w:jc w:val="left"/>
            </w:pPr>
            <w:r>
              <w:rPr>
                <w:sz w:val="20"/>
                <w:szCs w:val="20"/>
              </w:rPr>
              <w:t xml:space="preserve">Plan names measures, cost, the no-action shortfall year, and the reservoir's lowest storage under the plan clearly</w:t>
            </w:r>
          </w:p>
        </w:tc>
        <w:tc>
          <w:tcPr>
            <w:tcW w:type="dxa" w:w="3280"/>
            <w:tcMar>
              <w:top w:type="dxa" w:w="70"/>
              <w:left w:type="dxa" w:w="100"/>
              <w:bottom w:type="dxa" w:w="70"/>
              <w:right w:type="dxa" w:w="100"/>
            </w:tcMar>
            <w:vAlign w:val="top"/>
          </w:tcPr>
          <w:p>
            <w:pPr>
              <w:spacing w:after="0" w:line="252"/>
              <w:jc w:val="left"/>
            </w:pPr>
            <w:r>
              <w:rPr>
                <w:sz w:val="20"/>
                <w:szCs w:val="20"/>
              </w:rPr>
              <w:t xml:space="preserve">Plan does all of that and answers the board's question with evidence from the model</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Heading3"/>
        <w:keepNext/>
        <w:keepLines/>
      </w:pPr>
      <w:r>
        <w:rPr>
          <w:sz w:val="24"/>
          <w:szCs w:val="24"/>
        </w:rPr>
        <w:t xml:space="preserve">Teacher reference</w:t>
      </w:r>
    </w:p>
    <w:p>
      <w:pPr>
        <w:spacing w:after="100" w:line="264"/>
      </w:pPr>
      <w:r>
        <w:rPr>
          <w:sz w:val="22"/>
          <w:szCs w:val="22"/>
        </w:rPr>
        <w:t xml:space="preserve">Use these figures to check team models. Values are rounded to one decimal place at the end of each calculation, so a team that rounds monthly values first may differ by a few tenths of an acre-foot. One million gallons is 1,000,000 ÷ 325,851 = 3.0689 acre-feet.</w:t>
      </w:r>
    </w:p>
    <w:p>
      <w:pPr>
        <w:keepNext/>
        <w:keepLines/>
        <w:spacing w:after="100" w:line="264"/>
      </w:pPr>
      <w:r>
        <w:rPr>
          <w:b/>
          <w:bCs/>
          <w:sz w:val="22"/>
          <w:szCs w:val="22"/>
        </w:rPr>
        <w:t xml:space="preserve">Year 0 baseline (Session 1).</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0"/>
        <w:gridCol w:w="2030"/>
        <w:gridCol w:w="2043"/>
        <w:gridCol w:w="4717"/>
      </w:tblGrid>
      <w:tr>
        <w:trPr>
          <w:cantSplit/>
          <w:tblHeader/>
        </w:trPr>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20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Change in storage (MG)</w:t>
            </w:r>
          </w:p>
        </w:tc>
        <w:tc>
          <w:tcPr>
            <w:tcW w:type="dxa" w:w="20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Change in storage (acre-feet)</w:t>
            </w:r>
          </w:p>
        </w:tc>
        <w:tc>
          <w:tcPr>
            <w:tcW w:type="dxa" w:w="47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End-of-month storage (acre-feet)</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January</w:t>
            </w:r>
          </w:p>
        </w:tc>
        <w:tc>
          <w:tcPr>
            <w:tcW w:type="dxa" w:w="2030"/>
            <w:tcMar>
              <w:top w:type="dxa" w:w="70"/>
              <w:left w:type="dxa" w:w="100"/>
              <w:bottom w:type="dxa" w:w="70"/>
              <w:right w:type="dxa" w:w="100"/>
            </w:tcMar>
            <w:vAlign w:val="top"/>
          </w:tcPr>
          <w:p>
            <w:pPr>
              <w:keepNext/>
              <w:spacing w:after="0" w:line="252"/>
              <w:jc w:val="left"/>
            </w:pPr>
            <w:r>
              <w:rPr>
                <w:sz w:val="22"/>
                <w:szCs w:val="22"/>
              </w:rPr>
              <w:t xml:space="preserve">+136.4</w:t>
            </w:r>
          </w:p>
        </w:tc>
        <w:tc>
          <w:tcPr>
            <w:tcW w:type="dxa" w:w="2043"/>
            <w:tcMar>
              <w:top w:type="dxa" w:w="70"/>
              <w:left w:type="dxa" w:w="100"/>
              <w:bottom w:type="dxa" w:w="70"/>
              <w:right w:type="dxa" w:w="100"/>
            </w:tcMar>
            <w:vAlign w:val="top"/>
          </w:tcPr>
          <w:p>
            <w:pPr>
              <w:keepNext/>
              <w:spacing w:after="0" w:line="252"/>
              <w:jc w:val="left"/>
            </w:pPr>
            <w:r>
              <w:rPr>
                <w:sz w:val="22"/>
                <w:szCs w:val="22"/>
              </w:rPr>
              <w:t xml:space="preserve">+418.6</w:t>
            </w:r>
          </w:p>
        </w:tc>
        <w:tc>
          <w:tcPr>
            <w:tcW w:type="dxa" w:w="4717"/>
            <w:tcMar>
              <w:top w:type="dxa" w:w="70"/>
              <w:left w:type="dxa" w:w="100"/>
              <w:bottom w:type="dxa" w:w="70"/>
              <w:right w:type="dxa" w:w="100"/>
            </w:tcMar>
            <w:vAlign w:val="top"/>
          </w:tcPr>
          <w:p>
            <w:pPr>
              <w:keepNext/>
              <w:spacing w:after="0" w:line="252"/>
              <w:jc w:val="left"/>
            </w:pPr>
            <w:r>
              <w:rPr>
                <w:sz w:val="22"/>
                <w:szCs w:val="22"/>
              </w:rPr>
              <w:t xml:space="preserve">1,400.0 (full)</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February</w:t>
            </w:r>
          </w:p>
        </w:tc>
        <w:tc>
          <w:tcPr>
            <w:tcW w:type="dxa" w:w="2030"/>
            <w:tcMar>
              <w:top w:type="dxa" w:w="70"/>
              <w:left w:type="dxa" w:w="100"/>
              <w:bottom w:type="dxa" w:w="70"/>
              <w:right w:type="dxa" w:w="100"/>
            </w:tcMar>
            <w:vAlign w:val="top"/>
          </w:tcPr>
          <w:p>
            <w:pPr>
              <w:keepNext/>
              <w:spacing w:after="0" w:line="252"/>
              <w:jc w:val="left"/>
            </w:pPr>
            <w:r>
              <w:rPr>
                <w:sz w:val="22"/>
                <w:szCs w:val="22"/>
              </w:rPr>
              <w:t xml:space="preserve">+123.2</w:t>
            </w:r>
          </w:p>
        </w:tc>
        <w:tc>
          <w:tcPr>
            <w:tcW w:type="dxa" w:w="2043"/>
            <w:tcMar>
              <w:top w:type="dxa" w:w="70"/>
              <w:left w:type="dxa" w:w="100"/>
              <w:bottom w:type="dxa" w:w="70"/>
              <w:right w:type="dxa" w:w="100"/>
            </w:tcMar>
            <w:vAlign w:val="top"/>
          </w:tcPr>
          <w:p>
            <w:pPr>
              <w:keepNext/>
              <w:spacing w:after="0" w:line="252"/>
              <w:jc w:val="left"/>
            </w:pPr>
            <w:r>
              <w:rPr>
                <w:sz w:val="22"/>
                <w:szCs w:val="22"/>
              </w:rPr>
              <w:t xml:space="preserve">+378.1</w:t>
            </w:r>
          </w:p>
        </w:tc>
        <w:tc>
          <w:tcPr>
            <w:tcW w:type="dxa" w:w="4717"/>
            <w:tcMar>
              <w:top w:type="dxa" w:w="70"/>
              <w:left w:type="dxa" w:w="100"/>
              <w:bottom w:type="dxa" w:w="70"/>
              <w:right w:type="dxa" w:w="100"/>
            </w:tcMar>
            <w:vAlign w:val="top"/>
          </w:tcPr>
          <w:p>
            <w:pPr>
              <w:keepNext/>
              <w:spacing w:after="0" w:line="252"/>
              <w:jc w:val="left"/>
            </w:pPr>
            <w:r>
              <w:rPr>
                <w:sz w:val="22"/>
                <w:szCs w:val="22"/>
              </w:rPr>
              <w:t xml:space="preserve">1,400.0 (full)</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March</w:t>
            </w:r>
          </w:p>
        </w:tc>
        <w:tc>
          <w:tcPr>
            <w:tcW w:type="dxa" w:w="2030"/>
            <w:tcMar>
              <w:top w:type="dxa" w:w="70"/>
              <w:left w:type="dxa" w:w="100"/>
              <w:bottom w:type="dxa" w:w="70"/>
              <w:right w:type="dxa" w:w="100"/>
            </w:tcMar>
            <w:vAlign w:val="top"/>
          </w:tcPr>
          <w:p>
            <w:pPr>
              <w:keepNext/>
              <w:spacing w:after="0" w:line="252"/>
              <w:jc w:val="left"/>
            </w:pPr>
            <w:r>
              <w:rPr>
                <w:sz w:val="22"/>
                <w:szCs w:val="22"/>
              </w:rPr>
              <w:t xml:space="preserve">+133.3</w:t>
            </w:r>
          </w:p>
        </w:tc>
        <w:tc>
          <w:tcPr>
            <w:tcW w:type="dxa" w:w="2043"/>
            <w:tcMar>
              <w:top w:type="dxa" w:w="70"/>
              <w:left w:type="dxa" w:w="100"/>
              <w:bottom w:type="dxa" w:w="70"/>
              <w:right w:type="dxa" w:w="100"/>
            </w:tcMar>
            <w:vAlign w:val="top"/>
          </w:tcPr>
          <w:p>
            <w:pPr>
              <w:keepNext/>
              <w:spacing w:after="0" w:line="252"/>
              <w:jc w:val="left"/>
            </w:pPr>
            <w:r>
              <w:rPr>
                <w:sz w:val="22"/>
                <w:szCs w:val="22"/>
              </w:rPr>
              <w:t xml:space="preserve">+409.1</w:t>
            </w:r>
          </w:p>
        </w:tc>
        <w:tc>
          <w:tcPr>
            <w:tcW w:type="dxa" w:w="4717"/>
            <w:tcMar>
              <w:top w:type="dxa" w:w="70"/>
              <w:left w:type="dxa" w:w="100"/>
              <w:bottom w:type="dxa" w:w="70"/>
              <w:right w:type="dxa" w:w="100"/>
            </w:tcMar>
            <w:vAlign w:val="top"/>
          </w:tcPr>
          <w:p>
            <w:pPr>
              <w:keepNext/>
              <w:spacing w:after="0" w:line="252"/>
              <w:jc w:val="left"/>
            </w:pPr>
            <w:r>
              <w:rPr>
                <w:sz w:val="22"/>
                <w:szCs w:val="22"/>
              </w:rPr>
              <w:t xml:space="preserve">1,400.0 (full)</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April</w:t>
            </w:r>
          </w:p>
        </w:tc>
        <w:tc>
          <w:tcPr>
            <w:tcW w:type="dxa" w:w="2030"/>
            <w:tcMar>
              <w:top w:type="dxa" w:w="70"/>
              <w:left w:type="dxa" w:w="100"/>
              <w:bottom w:type="dxa" w:w="70"/>
              <w:right w:type="dxa" w:w="100"/>
            </w:tcMar>
            <w:vAlign w:val="top"/>
          </w:tcPr>
          <w:p>
            <w:pPr>
              <w:keepNext/>
              <w:spacing w:after="0" w:line="252"/>
              <w:jc w:val="left"/>
            </w:pPr>
            <w:r>
              <w:rPr>
                <w:sz w:val="22"/>
                <w:szCs w:val="22"/>
              </w:rPr>
              <w:t xml:space="preserve">+123.0</w:t>
            </w:r>
          </w:p>
        </w:tc>
        <w:tc>
          <w:tcPr>
            <w:tcW w:type="dxa" w:w="2043"/>
            <w:tcMar>
              <w:top w:type="dxa" w:w="70"/>
              <w:left w:type="dxa" w:w="100"/>
              <w:bottom w:type="dxa" w:w="70"/>
              <w:right w:type="dxa" w:w="100"/>
            </w:tcMar>
            <w:vAlign w:val="top"/>
          </w:tcPr>
          <w:p>
            <w:pPr>
              <w:keepNext/>
              <w:spacing w:after="0" w:line="252"/>
              <w:jc w:val="left"/>
            </w:pPr>
            <w:r>
              <w:rPr>
                <w:sz w:val="22"/>
                <w:szCs w:val="22"/>
              </w:rPr>
              <w:t xml:space="preserve">+377.5</w:t>
            </w:r>
          </w:p>
        </w:tc>
        <w:tc>
          <w:tcPr>
            <w:tcW w:type="dxa" w:w="4717"/>
            <w:tcMar>
              <w:top w:type="dxa" w:w="70"/>
              <w:left w:type="dxa" w:w="100"/>
              <w:bottom w:type="dxa" w:w="70"/>
              <w:right w:type="dxa" w:w="100"/>
            </w:tcMar>
            <w:vAlign w:val="top"/>
          </w:tcPr>
          <w:p>
            <w:pPr>
              <w:keepNext/>
              <w:spacing w:after="0" w:line="252"/>
              <w:jc w:val="left"/>
            </w:pPr>
            <w:r>
              <w:rPr>
                <w:sz w:val="22"/>
                <w:szCs w:val="22"/>
              </w:rPr>
              <w:t xml:space="preserve">1,400.0 (full)</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May</w:t>
            </w:r>
          </w:p>
        </w:tc>
        <w:tc>
          <w:tcPr>
            <w:tcW w:type="dxa" w:w="2030"/>
            <w:tcMar>
              <w:top w:type="dxa" w:w="70"/>
              <w:left w:type="dxa" w:w="100"/>
              <w:bottom w:type="dxa" w:w="70"/>
              <w:right w:type="dxa" w:w="100"/>
            </w:tcMar>
            <w:vAlign w:val="top"/>
          </w:tcPr>
          <w:p>
            <w:pPr>
              <w:keepNext/>
              <w:spacing w:after="0" w:line="252"/>
              <w:jc w:val="left"/>
            </w:pPr>
            <w:r>
              <w:rPr>
                <w:sz w:val="22"/>
                <w:szCs w:val="22"/>
              </w:rPr>
              <w:t xml:space="preserve">+31.0</w:t>
            </w:r>
          </w:p>
        </w:tc>
        <w:tc>
          <w:tcPr>
            <w:tcW w:type="dxa" w:w="2043"/>
            <w:tcMar>
              <w:top w:type="dxa" w:w="70"/>
              <w:left w:type="dxa" w:w="100"/>
              <w:bottom w:type="dxa" w:w="70"/>
              <w:right w:type="dxa" w:w="100"/>
            </w:tcMar>
            <w:vAlign w:val="top"/>
          </w:tcPr>
          <w:p>
            <w:pPr>
              <w:keepNext/>
              <w:spacing w:after="0" w:line="252"/>
              <w:jc w:val="left"/>
            </w:pPr>
            <w:r>
              <w:rPr>
                <w:sz w:val="22"/>
                <w:szCs w:val="22"/>
              </w:rPr>
              <w:t xml:space="preserve">+95.1</w:t>
            </w:r>
          </w:p>
        </w:tc>
        <w:tc>
          <w:tcPr>
            <w:tcW w:type="dxa" w:w="4717"/>
            <w:tcMar>
              <w:top w:type="dxa" w:w="70"/>
              <w:left w:type="dxa" w:w="100"/>
              <w:bottom w:type="dxa" w:w="70"/>
              <w:right w:type="dxa" w:w="100"/>
            </w:tcMar>
            <w:vAlign w:val="top"/>
          </w:tcPr>
          <w:p>
            <w:pPr>
              <w:keepNext/>
              <w:spacing w:after="0" w:line="252"/>
              <w:jc w:val="left"/>
            </w:pPr>
            <w:r>
              <w:rPr>
                <w:sz w:val="22"/>
                <w:szCs w:val="22"/>
              </w:rPr>
              <w:t xml:space="preserve">1,400.0 (full)</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June</w:t>
            </w:r>
          </w:p>
        </w:tc>
        <w:tc>
          <w:tcPr>
            <w:tcW w:type="dxa" w:w="2030"/>
            <w:tcMar>
              <w:top w:type="dxa" w:w="70"/>
              <w:left w:type="dxa" w:w="100"/>
              <w:bottom w:type="dxa" w:w="70"/>
              <w:right w:type="dxa" w:w="100"/>
            </w:tcMar>
            <w:vAlign w:val="top"/>
          </w:tcPr>
          <w:p>
            <w:pPr>
              <w:keepNext/>
              <w:spacing w:after="0" w:line="252"/>
              <w:jc w:val="left"/>
            </w:pPr>
            <w:r>
              <w:rPr>
                <w:sz w:val="22"/>
                <w:szCs w:val="22"/>
              </w:rPr>
              <w:t xml:space="preserve">−42.0</w:t>
            </w:r>
          </w:p>
        </w:tc>
        <w:tc>
          <w:tcPr>
            <w:tcW w:type="dxa" w:w="2043"/>
            <w:tcMar>
              <w:top w:type="dxa" w:w="70"/>
              <w:left w:type="dxa" w:w="100"/>
              <w:bottom w:type="dxa" w:w="70"/>
              <w:right w:type="dxa" w:w="100"/>
            </w:tcMar>
            <w:vAlign w:val="top"/>
          </w:tcPr>
          <w:p>
            <w:pPr>
              <w:keepNext/>
              <w:spacing w:after="0" w:line="252"/>
              <w:jc w:val="left"/>
            </w:pPr>
            <w:r>
              <w:rPr>
                <w:sz w:val="22"/>
                <w:szCs w:val="22"/>
              </w:rPr>
              <w:t xml:space="preserve">−128.9</w:t>
            </w:r>
          </w:p>
        </w:tc>
        <w:tc>
          <w:tcPr>
            <w:tcW w:type="dxa" w:w="4717"/>
            <w:tcMar>
              <w:top w:type="dxa" w:w="70"/>
              <w:left w:type="dxa" w:w="100"/>
              <w:bottom w:type="dxa" w:w="70"/>
              <w:right w:type="dxa" w:w="100"/>
            </w:tcMar>
            <w:vAlign w:val="top"/>
          </w:tcPr>
          <w:p>
            <w:pPr>
              <w:keepNext/>
              <w:spacing w:after="0" w:line="252"/>
              <w:jc w:val="left"/>
            </w:pPr>
            <w:r>
              <w:rPr>
                <w:sz w:val="22"/>
                <w:szCs w:val="22"/>
              </w:rPr>
              <w:t xml:space="preserve">1,271.1</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July</w:t>
            </w:r>
          </w:p>
        </w:tc>
        <w:tc>
          <w:tcPr>
            <w:tcW w:type="dxa" w:w="2030"/>
            <w:tcMar>
              <w:top w:type="dxa" w:w="70"/>
              <w:left w:type="dxa" w:w="100"/>
              <w:bottom w:type="dxa" w:w="70"/>
              <w:right w:type="dxa" w:w="100"/>
            </w:tcMar>
            <w:vAlign w:val="top"/>
          </w:tcPr>
          <w:p>
            <w:pPr>
              <w:keepNext/>
              <w:spacing w:after="0" w:line="252"/>
              <w:jc w:val="left"/>
            </w:pPr>
            <w:r>
              <w:rPr>
                <w:sz w:val="22"/>
                <w:szCs w:val="22"/>
              </w:rPr>
              <w:t xml:space="preserve">−86.8</w:t>
            </w:r>
          </w:p>
        </w:tc>
        <w:tc>
          <w:tcPr>
            <w:tcW w:type="dxa" w:w="2043"/>
            <w:tcMar>
              <w:top w:type="dxa" w:w="70"/>
              <w:left w:type="dxa" w:w="100"/>
              <w:bottom w:type="dxa" w:w="70"/>
              <w:right w:type="dxa" w:w="100"/>
            </w:tcMar>
            <w:vAlign w:val="top"/>
          </w:tcPr>
          <w:p>
            <w:pPr>
              <w:keepNext/>
              <w:spacing w:after="0" w:line="252"/>
              <w:jc w:val="left"/>
            </w:pPr>
            <w:r>
              <w:rPr>
                <w:sz w:val="22"/>
                <w:szCs w:val="22"/>
              </w:rPr>
              <w:t xml:space="preserve">−266.4</w:t>
            </w:r>
          </w:p>
        </w:tc>
        <w:tc>
          <w:tcPr>
            <w:tcW w:type="dxa" w:w="4717"/>
            <w:tcMar>
              <w:top w:type="dxa" w:w="70"/>
              <w:left w:type="dxa" w:w="100"/>
              <w:bottom w:type="dxa" w:w="70"/>
              <w:right w:type="dxa" w:w="100"/>
            </w:tcMar>
            <w:vAlign w:val="top"/>
          </w:tcPr>
          <w:p>
            <w:pPr>
              <w:keepNext/>
              <w:spacing w:after="0" w:line="252"/>
              <w:jc w:val="left"/>
            </w:pPr>
            <w:r>
              <w:rPr>
                <w:sz w:val="22"/>
                <w:szCs w:val="22"/>
              </w:rPr>
              <w:t xml:space="preserve">1,004.7</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August</w:t>
            </w:r>
          </w:p>
        </w:tc>
        <w:tc>
          <w:tcPr>
            <w:tcW w:type="dxa" w:w="2030"/>
            <w:tcMar>
              <w:top w:type="dxa" w:w="70"/>
              <w:left w:type="dxa" w:w="100"/>
              <w:bottom w:type="dxa" w:w="70"/>
              <w:right w:type="dxa" w:w="100"/>
            </w:tcMar>
            <w:vAlign w:val="top"/>
          </w:tcPr>
          <w:p>
            <w:pPr>
              <w:keepNext/>
              <w:spacing w:after="0" w:line="252"/>
              <w:jc w:val="left"/>
            </w:pPr>
            <w:r>
              <w:rPr>
                <w:sz w:val="22"/>
                <w:szCs w:val="22"/>
              </w:rPr>
              <w:t xml:space="preserve">−93.0</w:t>
            </w:r>
          </w:p>
        </w:tc>
        <w:tc>
          <w:tcPr>
            <w:tcW w:type="dxa" w:w="2043"/>
            <w:tcMar>
              <w:top w:type="dxa" w:w="70"/>
              <w:left w:type="dxa" w:w="100"/>
              <w:bottom w:type="dxa" w:w="70"/>
              <w:right w:type="dxa" w:w="100"/>
            </w:tcMar>
            <w:vAlign w:val="top"/>
          </w:tcPr>
          <w:p>
            <w:pPr>
              <w:keepNext/>
              <w:spacing w:after="0" w:line="252"/>
              <w:jc w:val="left"/>
            </w:pPr>
            <w:r>
              <w:rPr>
                <w:sz w:val="22"/>
                <w:szCs w:val="22"/>
              </w:rPr>
              <w:t xml:space="preserve">−285.4</w:t>
            </w:r>
          </w:p>
        </w:tc>
        <w:tc>
          <w:tcPr>
            <w:tcW w:type="dxa" w:w="4717"/>
            <w:tcMar>
              <w:top w:type="dxa" w:w="70"/>
              <w:left w:type="dxa" w:w="100"/>
              <w:bottom w:type="dxa" w:w="70"/>
              <w:right w:type="dxa" w:w="100"/>
            </w:tcMar>
            <w:vAlign w:val="top"/>
          </w:tcPr>
          <w:p>
            <w:pPr>
              <w:keepNext/>
              <w:spacing w:after="0" w:line="252"/>
              <w:jc w:val="left"/>
            </w:pPr>
            <w:r>
              <w:rPr>
                <w:sz w:val="22"/>
                <w:szCs w:val="22"/>
              </w:rPr>
              <w:t xml:space="preserve">719.3</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September</w:t>
            </w:r>
          </w:p>
        </w:tc>
        <w:tc>
          <w:tcPr>
            <w:tcW w:type="dxa" w:w="2030"/>
            <w:tcMar>
              <w:top w:type="dxa" w:w="70"/>
              <w:left w:type="dxa" w:w="100"/>
              <w:bottom w:type="dxa" w:w="70"/>
              <w:right w:type="dxa" w:w="100"/>
            </w:tcMar>
            <w:vAlign w:val="top"/>
          </w:tcPr>
          <w:p>
            <w:pPr>
              <w:keepNext/>
              <w:spacing w:after="0" w:line="252"/>
              <w:jc w:val="left"/>
            </w:pPr>
            <w:r>
              <w:rPr>
                <w:sz w:val="22"/>
                <w:szCs w:val="22"/>
              </w:rPr>
              <w:t xml:space="preserve">−69.0</w:t>
            </w:r>
          </w:p>
        </w:tc>
        <w:tc>
          <w:tcPr>
            <w:tcW w:type="dxa" w:w="2043"/>
            <w:tcMar>
              <w:top w:type="dxa" w:w="70"/>
              <w:left w:type="dxa" w:w="100"/>
              <w:bottom w:type="dxa" w:w="70"/>
              <w:right w:type="dxa" w:w="100"/>
            </w:tcMar>
            <w:vAlign w:val="top"/>
          </w:tcPr>
          <w:p>
            <w:pPr>
              <w:keepNext/>
              <w:spacing w:after="0" w:line="252"/>
              <w:jc w:val="left"/>
            </w:pPr>
            <w:r>
              <w:rPr>
                <w:sz w:val="22"/>
                <w:szCs w:val="22"/>
              </w:rPr>
              <w:t xml:space="preserve">−211.8</w:t>
            </w:r>
          </w:p>
        </w:tc>
        <w:tc>
          <w:tcPr>
            <w:tcW w:type="dxa" w:w="4717"/>
            <w:tcMar>
              <w:top w:type="dxa" w:w="70"/>
              <w:left w:type="dxa" w:w="100"/>
              <w:bottom w:type="dxa" w:w="70"/>
              <w:right w:type="dxa" w:w="100"/>
            </w:tcMar>
            <w:vAlign w:val="top"/>
          </w:tcPr>
          <w:p>
            <w:pPr>
              <w:keepNext/>
              <w:spacing w:after="0" w:line="252"/>
              <w:jc w:val="left"/>
            </w:pPr>
            <w:r>
              <w:rPr>
                <w:sz w:val="22"/>
                <w:szCs w:val="22"/>
              </w:rPr>
              <w:t xml:space="preserve">507.6</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October</w:t>
            </w:r>
          </w:p>
        </w:tc>
        <w:tc>
          <w:tcPr>
            <w:tcW w:type="dxa" w:w="2030"/>
            <w:tcMar>
              <w:top w:type="dxa" w:w="70"/>
              <w:left w:type="dxa" w:w="100"/>
              <w:bottom w:type="dxa" w:w="70"/>
              <w:right w:type="dxa" w:w="100"/>
            </w:tcMar>
            <w:vAlign w:val="top"/>
          </w:tcPr>
          <w:p>
            <w:pPr>
              <w:keepNext/>
              <w:spacing w:after="0" w:line="252"/>
              <w:jc w:val="left"/>
            </w:pPr>
            <w:r>
              <w:rPr>
                <w:sz w:val="22"/>
                <w:szCs w:val="22"/>
              </w:rPr>
              <w:t xml:space="preserve">+27.9</w:t>
            </w:r>
          </w:p>
        </w:tc>
        <w:tc>
          <w:tcPr>
            <w:tcW w:type="dxa" w:w="2043"/>
            <w:tcMar>
              <w:top w:type="dxa" w:w="70"/>
              <w:left w:type="dxa" w:w="100"/>
              <w:bottom w:type="dxa" w:w="70"/>
              <w:right w:type="dxa" w:w="100"/>
            </w:tcMar>
            <w:vAlign w:val="top"/>
          </w:tcPr>
          <w:p>
            <w:pPr>
              <w:keepNext/>
              <w:spacing w:after="0" w:line="252"/>
              <w:jc w:val="left"/>
            </w:pPr>
            <w:r>
              <w:rPr>
                <w:sz w:val="22"/>
                <w:szCs w:val="22"/>
              </w:rPr>
              <w:t xml:space="preserve">+85.6</w:t>
            </w:r>
          </w:p>
        </w:tc>
        <w:tc>
          <w:tcPr>
            <w:tcW w:type="dxa" w:w="4717"/>
            <w:tcMar>
              <w:top w:type="dxa" w:w="70"/>
              <w:left w:type="dxa" w:w="100"/>
              <w:bottom w:type="dxa" w:w="70"/>
              <w:right w:type="dxa" w:w="100"/>
            </w:tcMar>
            <w:vAlign w:val="top"/>
          </w:tcPr>
          <w:p>
            <w:pPr>
              <w:keepNext/>
              <w:spacing w:after="0" w:line="252"/>
              <w:jc w:val="left"/>
            </w:pPr>
            <w:r>
              <w:rPr>
                <w:sz w:val="22"/>
                <w:szCs w:val="22"/>
              </w:rPr>
              <w:t xml:space="preserve">593.2</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November</w:t>
            </w:r>
          </w:p>
        </w:tc>
        <w:tc>
          <w:tcPr>
            <w:tcW w:type="dxa" w:w="2030"/>
            <w:tcMar>
              <w:top w:type="dxa" w:w="70"/>
              <w:left w:type="dxa" w:w="100"/>
              <w:bottom w:type="dxa" w:w="70"/>
              <w:right w:type="dxa" w:w="100"/>
            </w:tcMar>
            <w:vAlign w:val="top"/>
          </w:tcPr>
          <w:p>
            <w:pPr>
              <w:keepNext/>
              <w:spacing w:after="0" w:line="252"/>
              <w:jc w:val="left"/>
            </w:pPr>
            <w:r>
              <w:rPr>
                <w:sz w:val="22"/>
                <w:szCs w:val="22"/>
              </w:rPr>
              <w:t xml:space="preserve">+126.0</w:t>
            </w:r>
          </w:p>
        </w:tc>
        <w:tc>
          <w:tcPr>
            <w:tcW w:type="dxa" w:w="2043"/>
            <w:tcMar>
              <w:top w:type="dxa" w:w="70"/>
              <w:left w:type="dxa" w:w="100"/>
              <w:bottom w:type="dxa" w:w="70"/>
              <w:right w:type="dxa" w:w="100"/>
            </w:tcMar>
            <w:vAlign w:val="top"/>
          </w:tcPr>
          <w:p>
            <w:pPr>
              <w:keepNext/>
              <w:spacing w:after="0" w:line="252"/>
              <w:jc w:val="left"/>
            </w:pPr>
            <w:r>
              <w:rPr>
                <w:sz w:val="22"/>
                <w:szCs w:val="22"/>
              </w:rPr>
              <w:t xml:space="preserve">+386.7</w:t>
            </w:r>
          </w:p>
        </w:tc>
        <w:tc>
          <w:tcPr>
            <w:tcW w:type="dxa" w:w="4717"/>
            <w:tcMar>
              <w:top w:type="dxa" w:w="70"/>
              <w:left w:type="dxa" w:w="100"/>
              <w:bottom w:type="dxa" w:w="70"/>
              <w:right w:type="dxa" w:w="100"/>
            </w:tcMar>
            <w:vAlign w:val="top"/>
          </w:tcPr>
          <w:p>
            <w:pPr>
              <w:keepNext/>
              <w:spacing w:after="0" w:line="252"/>
              <w:jc w:val="left"/>
            </w:pPr>
            <w:r>
              <w:rPr>
                <w:sz w:val="22"/>
                <w:szCs w:val="22"/>
              </w:rPr>
              <w:t xml:space="preserve">979.9</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December</w:t>
            </w:r>
          </w:p>
        </w:tc>
        <w:tc>
          <w:tcPr>
            <w:tcW w:type="dxa" w:w="2030"/>
            <w:tcMar>
              <w:top w:type="dxa" w:w="70"/>
              <w:left w:type="dxa" w:w="100"/>
              <w:bottom w:type="dxa" w:w="70"/>
              <w:right w:type="dxa" w:w="100"/>
            </w:tcMar>
            <w:vAlign w:val="top"/>
          </w:tcPr>
          <w:p>
            <w:pPr>
              <w:spacing w:after="0" w:line="252"/>
              <w:jc w:val="left"/>
            </w:pPr>
            <w:r>
              <w:rPr>
                <w:sz w:val="22"/>
                <w:szCs w:val="22"/>
              </w:rPr>
              <w:t xml:space="preserve">+136.4</w:t>
            </w:r>
          </w:p>
        </w:tc>
        <w:tc>
          <w:tcPr>
            <w:tcW w:type="dxa" w:w="2043"/>
            <w:tcMar>
              <w:top w:type="dxa" w:w="70"/>
              <w:left w:type="dxa" w:w="100"/>
              <w:bottom w:type="dxa" w:w="70"/>
              <w:right w:type="dxa" w:w="100"/>
            </w:tcMar>
            <w:vAlign w:val="top"/>
          </w:tcPr>
          <w:p>
            <w:pPr>
              <w:spacing w:after="0" w:line="252"/>
              <w:jc w:val="left"/>
            </w:pPr>
            <w:r>
              <w:rPr>
                <w:sz w:val="22"/>
                <w:szCs w:val="22"/>
              </w:rPr>
              <w:t xml:space="preserve">+418.6</w:t>
            </w:r>
          </w:p>
        </w:tc>
        <w:tc>
          <w:tcPr>
            <w:tcW w:type="dxa" w:w="4717"/>
            <w:tcMar>
              <w:top w:type="dxa" w:w="70"/>
              <w:left w:type="dxa" w:w="100"/>
              <w:bottom w:type="dxa" w:w="70"/>
              <w:right w:type="dxa" w:w="100"/>
            </w:tcMar>
            <w:vAlign w:val="top"/>
          </w:tcPr>
          <w:p>
            <w:pPr>
              <w:spacing w:after="0" w:line="252"/>
              <w:jc w:val="left"/>
            </w:pPr>
            <w:r>
              <w:rPr>
                <w:sz w:val="22"/>
                <w:szCs w:val="22"/>
              </w:rPr>
              <w:t xml:space="preserve">1,398.5</w:t>
            </w:r>
          </w:p>
        </w:tc>
      </w:tr>
    </w:tbl>
    <w:p>
      <w:pPr>
        <w:spacing w:after="160" w:before="0"/>
      </w:pPr>
    </w:p>
    <w:p>
      <w:pPr>
        <w:spacing w:after="100" w:line="264"/>
      </w:pPr>
      <w:r>
        <w:rPr>
          <w:sz w:val="22"/>
          <w:szCs w:val="22"/>
        </w:rPr>
        <w:t xml:space="preserve">The August draw is (5.0 − 2.0) × 31 = 93.0 million gallons, and 93,000,000 ÷ 325,851 = 285.4 acre-feet.</w:t>
      </w:r>
    </w:p>
    <w:p>
      <w:pPr>
        <w:spacing w:after="100" w:line="264"/>
      </w:pPr>
      <w:r>
        <w:rPr>
          <w:b/>
          <w:bCs/>
          <w:sz w:val="22"/>
          <w:szCs w:val="22"/>
        </w:rPr>
        <w:t xml:space="preserve">Answer:</w:t>
      </w:r>
      <w:r>
        <w:rPr>
          <w:sz w:val="22"/>
          <w:szCs w:val="22"/>
        </w:rPr>
        <w:t xml:space="preserve"> 285.4 acre-feet drawn from the reservoir in August of Year 0.</w:t>
      </w:r>
    </w:p>
    <w:p>
      <w:pPr>
        <w:spacing w:after="100" w:line="264"/>
      </w:pPr>
      <w:r>
        <w:rPr>
          <w:sz w:val="22"/>
          <w:szCs w:val="22"/>
        </w:rPr>
        <w:t xml:space="preserve">The June-through-September draw is 42.0 + 86.8 + 93.0 + 69.0 = 290.8 million gallons, which is 892.4 acre-feet, so storage bottoms out at 1,400 − 892.4 = 507.6 acre-feet at the end of September. The reservoir refills in January.</w:t>
      </w:r>
    </w:p>
    <w:p>
      <w:pPr>
        <w:spacing w:after="100" w:line="264"/>
      </w:pPr>
      <w:r>
        <w:rPr>
          <w:b/>
          <w:bCs/>
          <w:sz w:val="22"/>
          <w:szCs w:val="22"/>
        </w:rPr>
        <w:t xml:space="preserve">Answer:</w:t>
      </w:r>
      <w:r>
        <w:rPr>
          <w:sz w:val="22"/>
          <w:szCs w:val="22"/>
        </w:rPr>
        <w:t xml:space="preserve"> 507.6 acre-feet, the lowest storage of Year 0, at the end of September.</w:t>
      </w:r>
    </w:p>
    <w:p>
      <w:pPr>
        <w:spacing w:after="100" w:line="264"/>
      </w:pPr>
      <w:r>
        <w:rPr>
          <w:b/>
          <w:bCs/>
          <w:sz w:val="22"/>
          <w:szCs w:val="22"/>
        </w:rPr>
        <w:t xml:space="preserve">Fifteen-year projection with no action (Session 2).</w:t>
      </w:r>
      <w:r>
        <w:rPr>
          <w:sz w:val="22"/>
          <w:szCs w:val="22"/>
        </w:rPr>
        <w:t xml:space="preserve"> The January-through-May surplus refills the reservoir to 1,400 acre-feet every normal year, so each year's lowest point is the end of September. Because the river permit does not grow, the June-through-September draw in Year n is (558.8 × 1.012^n − 268.0) million gallons, where 558.8 is the four-month Year 0 demand total and 268.0 is the four-month river total.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20"/>
        <w:gridCol w:w="2160"/>
        <w:gridCol w:w="2160"/>
        <w:gridCol w:w="720"/>
        <w:gridCol w:w="2160"/>
        <w:gridCol w:w="2160"/>
      </w:tblGrid>
      <w:tr>
        <w:trPr>
          <w:cantSplit/>
          <w:tblHeader/>
        </w:trPr>
        <w:tc>
          <w:tcPr>
            <w:tcW w:type="dxa" w:w="7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Year</w:t>
            </w:r>
          </w:p>
        </w:tc>
        <w:tc>
          <w:tcPr>
            <w:tcW w:type="dxa" w:w="21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Growth factor</w:t>
            </w:r>
          </w:p>
        </w:tc>
        <w:tc>
          <w:tcPr>
            <w:tcW w:type="dxa" w:w="21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Lowest storage (acre-feet)</w:t>
            </w:r>
          </w:p>
        </w:tc>
        <w:tc>
          <w:tcPr>
            <w:tcW w:type="dxa" w:w="7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Year</w:t>
            </w:r>
          </w:p>
        </w:tc>
        <w:tc>
          <w:tcPr>
            <w:tcW w:type="dxa" w:w="21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Growth factor</w:t>
            </w:r>
          </w:p>
        </w:tc>
        <w:tc>
          <w:tcPr>
            <w:tcW w:type="dxa" w:w="21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Lowest storage (acre-feet)</w:t>
            </w:r>
          </w:p>
        </w:tc>
      </w:tr>
      <w:tr>
        <w:trPr>
          <w:cantSplit/>
        </w:trPr>
        <w:tc>
          <w:tcPr>
            <w:tcW w:type="dxa" w:w="720"/>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1.0120</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487.0</w:t>
            </w:r>
          </w:p>
        </w:tc>
        <w:tc>
          <w:tcPr>
            <w:tcW w:type="dxa" w:w="720"/>
            <w:tcMar>
              <w:top w:type="dxa" w:w="70"/>
              <w:left w:type="dxa" w:w="100"/>
              <w:bottom w:type="dxa" w:w="70"/>
              <w:right w:type="dxa" w:w="100"/>
            </w:tcMar>
            <w:vAlign w:val="top"/>
          </w:tcPr>
          <w:p>
            <w:pPr>
              <w:keepNext/>
              <w:spacing w:after="0" w:line="252"/>
              <w:jc w:val="left"/>
            </w:pPr>
            <w:r>
              <w:rPr>
                <w:sz w:val="20"/>
                <w:szCs w:val="20"/>
              </w:rPr>
              <w:t xml:space="preserve">9</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1.1133</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313.2</w:t>
            </w:r>
          </w:p>
        </w:tc>
      </w:tr>
      <w:tr>
        <w:trPr>
          <w:cantSplit/>
        </w:trPr>
        <w:tc>
          <w:tcPr>
            <w:tcW w:type="dxa" w:w="720"/>
            <w:tcMar>
              <w:top w:type="dxa" w:w="70"/>
              <w:left w:type="dxa" w:w="100"/>
              <w:bottom w:type="dxa" w:w="70"/>
              <w:right w:type="dxa" w:w="100"/>
            </w:tcMar>
            <w:vAlign w:val="top"/>
          </w:tcPr>
          <w:p>
            <w:pPr>
              <w:keepNext/>
              <w:spacing w:after="0" w:line="252"/>
              <w:jc w:val="left"/>
            </w:pPr>
            <w:r>
              <w:rPr>
                <w:sz w:val="20"/>
                <w:szCs w:val="20"/>
              </w:rPr>
              <w:t xml:space="preserve">2</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1.0241</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466.2</w:t>
            </w:r>
          </w:p>
        </w:tc>
        <w:tc>
          <w:tcPr>
            <w:tcW w:type="dxa" w:w="720"/>
            <w:tcMar>
              <w:top w:type="dxa" w:w="70"/>
              <w:left w:type="dxa" w:w="100"/>
              <w:bottom w:type="dxa" w:w="70"/>
              <w:right w:type="dxa" w:w="100"/>
            </w:tcMar>
            <w:vAlign w:val="top"/>
          </w:tcPr>
          <w:p>
            <w:pPr>
              <w:keepNext/>
              <w:spacing w:after="0" w:line="252"/>
              <w:jc w:val="left"/>
            </w:pPr>
            <w:r>
              <w:rPr>
                <w:sz w:val="20"/>
                <w:szCs w:val="20"/>
              </w:rPr>
              <w:t xml:space="preserve">10</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1.1267</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290.3</w:t>
            </w:r>
          </w:p>
        </w:tc>
      </w:tr>
      <w:tr>
        <w:trPr>
          <w:cantSplit/>
        </w:trPr>
        <w:tc>
          <w:tcPr>
            <w:tcW w:type="dxa" w:w="720"/>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1.0364</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445.1</w:t>
            </w:r>
          </w:p>
        </w:tc>
        <w:tc>
          <w:tcPr>
            <w:tcW w:type="dxa" w:w="720"/>
            <w:tcMar>
              <w:top w:type="dxa" w:w="70"/>
              <w:left w:type="dxa" w:w="100"/>
              <w:bottom w:type="dxa" w:w="70"/>
              <w:right w:type="dxa" w:w="100"/>
            </w:tcMar>
            <w:vAlign w:val="top"/>
          </w:tcPr>
          <w:p>
            <w:pPr>
              <w:keepNext/>
              <w:spacing w:after="0" w:line="252"/>
              <w:jc w:val="left"/>
            </w:pPr>
            <w:r>
              <w:rPr>
                <w:sz w:val="20"/>
                <w:szCs w:val="20"/>
              </w:rPr>
              <w:t xml:space="preserve">11</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1.1402</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267.1</w:t>
            </w:r>
          </w:p>
        </w:tc>
      </w:tr>
      <w:tr>
        <w:trPr>
          <w:cantSplit/>
        </w:trPr>
        <w:tc>
          <w:tcPr>
            <w:tcW w:type="dxa" w:w="720"/>
            <w:tcMar>
              <w:top w:type="dxa" w:w="70"/>
              <w:left w:type="dxa" w:w="100"/>
              <w:bottom w:type="dxa" w:w="70"/>
              <w:right w:type="dxa" w:w="100"/>
            </w:tcMar>
            <w:vAlign w:val="top"/>
          </w:tcPr>
          <w:p>
            <w:pPr>
              <w:keepNext/>
              <w:spacing w:after="0" w:line="252"/>
              <w:jc w:val="left"/>
            </w:pPr>
            <w:r>
              <w:rPr>
                <w:sz w:val="20"/>
                <w:szCs w:val="20"/>
              </w:rPr>
              <w:t xml:space="preserve">4</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1.0489</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423.8</w:t>
            </w:r>
          </w:p>
        </w:tc>
        <w:tc>
          <w:tcPr>
            <w:tcW w:type="dxa" w:w="720"/>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1.1539</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243.7</w:t>
            </w:r>
          </w:p>
        </w:tc>
      </w:tr>
      <w:tr>
        <w:trPr>
          <w:cantSplit/>
        </w:trPr>
        <w:tc>
          <w:tcPr>
            <w:tcW w:type="dxa" w:w="720"/>
            <w:tcMar>
              <w:top w:type="dxa" w:w="70"/>
              <w:left w:type="dxa" w:w="100"/>
              <w:bottom w:type="dxa" w:w="70"/>
              <w:right w:type="dxa" w:w="100"/>
            </w:tcMar>
            <w:vAlign w:val="top"/>
          </w:tcPr>
          <w:p>
            <w:pPr>
              <w:keepNext/>
              <w:spacing w:after="0" w:line="252"/>
              <w:jc w:val="left"/>
            </w:pPr>
            <w:r>
              <w:rPr>
                <w:sz w:val="20"/>
                <w:szCs w:val="20"/>
              </w:rPr>
              <w:t xml:space="preserve">5</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1.0615</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402.2</w:t>
            </w:r>
          </w:p>
        </w:tc>
        <w:tc>
          <w:tcPr>
            <w:tcW w:type="dxa" w:w="720"/>
            <w:tcMar>
              <w:top w:type="dxa" w:w="70"/>
              <w:left w:type="dxa" w:w="100"/>
              <w:bottom w:type="dxa" w:w="70"/>
              <w:right w:type="dxa" w:w="100"/>
            </w:tcMar>
            <w:vAlign w:val="top"/>
          </w:tcPr>
          <w:p>
            <w:pPr>
              <w:keepNext/>
              <w:spacing w:after="0" w:line="252"/>
              <w:jc w:val="left"/>
            </w:pPr>
            <w:r>
              <w:rPr>
                <w:sz w:val="20"/>
                <w:szCs w:val="20"/>
              </w:rPr>
              <w:t xml:space="preserve">13</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1.1677</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219.9</w:t>
            </w:r>
          </w:p>
        </w:tc>
      </w:tr>
      <w:tr>
        <w:trPr>
          <w:cantSplit/>
        </w:trPr>
        <w:tc>
          <w:tcPr>
            <w:tcW w:type="dxa" w:w="720"/>
            <w:tcMar>
              <w:top w:type="dxa" w:w="70"/>
              <w:left w:type="dxa" w:w="100"/>
              <w:bottom w:type="dxa" w:w="70"/>
              <w:right w:type="dxa" w:w="100"/>
            </w:tcMar>
            <w:vAlign w:val="top"/>
          </w:tcPr>
          <w:p>
            <w:pPr>
              <w:keepNext/>
              <w:spacing w:after="0" w:line="252"/>
              <w:jc w:val="left"/>
            </w:pPr>
            <w:r>
              <w:rPr>
                <w:sz w:val="20"/>
                <w:szCs w:val="20"/>
              </w:rPr>
              <w:t xml:space="preserve">6</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1.0742</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380.3</w:t>
            </w:r>
          </w:p>
        </w:tc>
        <w:tc>
          <w:tcPr>
            <w:tcW w:type="dxa" w:w="720"/>
            <w:tcMar>
              <w:top w:type="dxa" w:w="70"/>
              <w:left w:type="dxa" w:w="100"/>
              <w:bottom w:type="dxa" w:w="70"/>
              <w:right w:type="dxa" w:w="100"/>
            </w:tcMar>
            <w:vAlign w:val="top"/>
          </w:tcPr>
          <w:p>
            <w:pPr>
              <w:keepNext/>
              <w:spacing w:after="0" w:line="252"/>
              <w:jc w:val="left"/>
            </w:pPr>
            <w:r>
              <w:rPr>
                <w:sz w:val="20"/>
                <w:szCs w:val="20"/>
              </w:rPr>
              <w:t xml:space="preserve">14</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1.1818</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195.9</w:t>
            </w:r>
          </w:p>
        </w:tc>
      </w:tr>
      <w:tr>
        <w:trPr>
          <w:cantSplit/>
        </w:trPr>
        <w:tc>
          <w:tcPr>
            <w:tcW w:type="dxa" w:w="720"/>
            <w:tcMar>
              <w:top w:type="dxa" w:w="70"/>
              <w:left w:type="dxa" w:w="100"/>
              <w:bottom w:type="dxa" w:w="70"/>
              <w:right w:type="dxa" w:w="100"/>
            </w:tcMar>
            <w:vAlign w:val="top"/>
          </w:tcPr>
          <w:p>
            <w:pPr>
              <w:keepNext/>
              <w:spacing w:after="0" w:line="252"/>
              <w:jc w:val="left"/>
            </w:pPr>
            <w:r>
              <w:rPr>
                <w:sz w:val="20"/>
                <w:szCs w:val="20"/>
              </w:rPr>
              <w:t xml:space="preserve">7</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1.0871</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358.2</w:t>
            </w:r>
          </w:p>
        </w:tc>
        <w:tc>
          <w:tcPr>
            <w:tcW w:type="dxa" w:w="720"/>
            <w:tcMar>
              <w:top w:type="dxa" w:w="70"/>
              <w:left w:type="dxa" w:w="100"/>
              <w:bottom w:type="dxa" w:w="70"/>
              <w:right w:type="dxa" w:w="100"/>
            </w:tcMar>
            <w:vAlign w:val="top"/>
          </w:tcPr>
          <w:p>
            <w:pPr>
              <w:keepNext/>
              <w:spacing w:after="0" w:line="252"/>
              <w:jc w:val="left"/>
            </w:pPr>
            <w:r>
              <w:rPr>
                <w:sz w:val="20"/>
                <w:szCs w:val="20"/>
              </w:rPr>
              <w:t xml:space="preserve">15</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1.1959</w:t>
            </w:r>
          </w:p>
        </w:tc>
        <w:tc>
          <w:tcPr>
            <w:tcW w:type="dxa" w:w="2160"/>
            <w:tcMar>
              <w:top w:type="dxa" w:w="70"/>
              <w:left w:type="dxa" w:w="100"/>
              <w:bottom w:type="dxa" w:w="70"/>
              <w:right w:type="dxa" w:w="100"/>
            </w:tcMar>
            <w:vAlign w:val="top"/>
          </w:tcPr>
          <w:p>
            <w:pPr>
              <w:keepNext/>
              <w:spacing w:after="0" w:line="252"/>
              <w:jc w:val="left"/>
            </w:pPr>
            <w:r>
              <w:rPr>
                <w:sz w:val="20"/>
                <w:szCs w:val="20"/>
              </w:rPr>
              <w:t xml:space="preserve">171.6</w:t>
            </w:r>
          </w:p>
        </w:tc>
      </w:tr>
      <w:tr>
        <w:trPr>
          <w:cantSplit/>
        </w:trPr>
        <w:tc>
          <w:tcPr>
            <w:tcW w:type="dxa" w:w="720"/>
            <w:tcMar>
              <w:top w:type="dxa" w:w="70"/>
              <w:left w:type="dxa" w:w="100"/>
              <w:bottom w:type="dxa" w:w="70"/>
              <w:right w:type="dxa" w:w="100"/>
            </w:tcMar>
            <w:vAlign w:val="top"/>
          </w:tcPr>
          <w:p>
            <w:pPr>
              <w:spacing w:after="0" w:line="252"/>
              <w:jc w:val="left"/>
            </w:pPr>
            <w:r>
              <w:rPr>
                <w:sz w:val="20"/>
                <w:szCs w:val="20"/>
              </w:rPr>
              <w:t xml:space="preserve">8</w:t>
            </w:r>
          </w:p>
        </w:tc>
        <w:tc>
          <w:tcPr>
            <w:tcW w:type="dxa" w:w="2160"/>
            <w:tcMar>
              <w:top w:type="dxa" w:w="70"/>
              <w:left w:type="dxa" w:w="100"/>
              <w:bottom w:type="dxa" w:w="70"/>
              <w:right w:type="dxa" w:w="100"/>
            </w:tcMar>
            <w:vAlign w:val="top"/>
          </w:tcPr>
          <w:p>
            <w:pPr>
              <w:spacing w:after="0" w:line="252"/>
              <w:jc w:val="left"/>
            </w:pPr>
            <w:r>
              <w:rPr>
                <w:sz w:val="20"/>
                <w:szCs w:val="20"/>
              </w:rPr>
              <w:t xml:space="preserve">1.1001</w:t>
            </w:r>
          </w:p>
        </w:tc>
        <w:tc>
          <w:tcPr>
            <w:tcW w:type="dxa" w:w="2160"/>
            <w:tcMar>
              <w:top w:type="dxa" w:w="70"/>
              <w:left w:type="dxa" w:w="100"/>
              <w:bottom w:type="dxa" w:w="70"/>
              <w:right w:type="dxa" w:w="100"/>
            </w:tcMar>
            <w:vAlign w:val="top"/>
          </w:tcPr>
          <w:p>
            <w:pPr>
              <w:spacing w:after="0" w:line="252"/>
              <w:jc w:val="left"/>
            </w:pPr>
            <w:r>
              <w:rPr>
                <w:sz w:val="20"/>
                <w:szCs w:val="20"/>
              </w:rPr>
              <w:t xml:space="preserve">335.9</w:t>
            </w:r>
          </w:p>
        </w:tc>
        <w:tc>
          <w:tcPr>
            <w:tcW w:type="dxa" w:w="720"/>
            <w:tcMar>
              <w:top w:type="dxa" w:w="70"/>
              <w:left w:type="dxa" w:w="100"/>
              <w:bottom w:type="dxa" w:w="70"/>
              <w:right w:type="dxa" w:w="100"/>
            </w:tcMar>
            <w:vAlign w:val="top"/>
          </w:tcPr>
          <w:p>
            <w:pPr>
              <w:spacing w:after="0" w:line="252"/>
              <w:jc w:val="left"/>
            </w:pPr>
          </w:p>
        </w:tc>
        <w:tc>
          <w:tcPr>
            <w:tcW w:type="dxa" w:w="2160"/>
            <w:tcMar>
              <w:top w:type="dxa" w:w="70"/>
              <w:left w:type="dxa" w:w="100"/>
              <w:bottom w:type="dxa" w:w="70"/>
              <w:right w:type="dxa" w:w="100"/>
            </w:tcMar>
            <w:vAlign w:val="top"/>
          </w:tcPr>
          <w:p>
            <w:pPr>
              <w:spacing w:after="0" w:line="252"/>
              <w:jc w:val="left"/>
            </w:pPr>
          </w:p>
        </w:tc>
        <w:tc>
          <w:tcPr>
            <w:tcW w:type="dxa" w:w="2160"/>
            <w:tcMar>
              <w:top w:type="dxa" w:w="70"/>
              <w:left w:type="dxa" w:w="100"/>
              <w:bottom w:type="dxa" w:w="70"/>
              <w:right w:type="dxa" w:w="100"/>
            </w:tcMar>
            <w:vAlign w:val="top"/>
          </w:tcPr>
          <w:p>
            <w:pPr>
              <w:spacing w:after="0" w:line="252"/>
              <w:jc w:val="left"/>
            </w:pPr>
          </w:p>
        </w:tc>
      </w:tr>
    </w:tbl>
    <w:p>
      <w:pPr>
        <w:spacing w:after="160" w:before="0"/>
      </w:pPr>
    </w:p>
    <w:p>
      <w:pPr>
        <w:spacing w:after="100" w:line="264"/>
      </w:pPr>
      <w:r>
        <w:rPr>
          <w:b/>
          <w:bCs/>
          <w:sz w:val="22"/>
          <w:szCs w:val="22"/>
        </w:rPr>
        <w:t xml:space="preserve">Answer:</w:t>
      </w:r>
      <w:r>
        <w:rPr>
          <w:sz w:val="22"/>
          <w:szCs w:val="22"/>
        </w:rPr>
        <w:t xml:space="preserve"> Year 10, when end-of-September storage falls to 290.3 acre-feet, below the 300 acre-foot reserve.</w:t>
      </w:r>
    </w:p>
    <w:p>
      <w:pPr>
        <w:spacing w:after="100" w:line="264"/>
      </w:pPr>
      <w:r>
        <w:rPr>
          <w:sz w:val="22"/>
          <w:szCs w:val="22"/>
        </w:rPr>
        <w:t xml:space="preserve">In Year 15 the August draw alone is (5.0 × 1.1959 − 2.0) × 31 = 123.4 million gallons, or 378.6 acre-feet. With no action, the dry-year test empties the reservoir in October of Year 14 (the formula gives −149.4 acre-feet, which means the reservoir would run dry), and 2.4 percent growth moves the first shortfall to Year 5, at 291.7 acre-feet.</w:t>
      </w:r>
    </w:p>
    <w:p>
      <w:pPr>
        <w:spacing w:after="100" w:line="264"/>
      </w:pPr>
      <w:r>
        <w:rPr>
          <w:b/>
          <w:bCs/>
          <w:sz w:val="22"/>
          <w:szCs w:val="22"/>
        </w:rPr>
        <w:t xml:space="preserve">Measure effects (Session 3).</w:t>
      </w:r>
      <w:r>
        <w:rPr>
          <w:sz w:val="22"/>
          <w:szCs w:val="22"/>
        </w:rPr>
        <w:t xml:space="preserve"> Over June through September (122 days), each 1.00 MGD of reduced demand or added supply saves 122 million gallons, or 374.4 acre-feet. The tiered rates save 112.3 acre-feet, the timer rebates 18.7, the turf rebates 74.9, leak repair 93.6, reclaimed water 168.5, and the new well 337.0. These savings add only while every one of the four months is still a draw month, which holds for any package whose combined effect is 1.40 MGD or less. A larger package can turn June into a surplus month, and because the reservoir is full on June 1, that surplus is left in the river.</w:t>
      </w:r>
    </w:p>
    <w:p>
      <w:pPr>
        <w:spacing w:after="100" w:line="264"/>
      </w:pPr>
      <w:r>
        <w:rPr>
          <w:b/>
          <w:bCs/>
          <w:sz w:val="22"/>
          <w:szCs w:val="22"/>
        </w:rPr>
        <w:t xml:space="preserve">Sample package A (passes the normal and dry-year tests, fails the growth test).</w:t>
      </w:r>
      <w:r>
        <w:rPr>
          <w:sz w:val="22"/>
          <w:szCs w:val="22"/>
        </w:rPr>
        <w:t xml:space="preserve"> Tiered rates, turf rebates, and the new well cost $120,000 + $600,000 + $3,100,000 = $3,820,000 and have a combined effect of 0.30 + 0.20 + 0.90 = 1.40 MGD.</w:t>
      </w:r>
    </w:p>
    <w:p>
      <w:pPr>
        <w:spacing w:after="100" w:line="264"/>
      </w:pPr>
      <w:r>
        <w:rPr>
          <w:b/>
          <w:bCs/>
          <w:sz w:val="22"/>
          <w:szCs w:val="22"/>
        </w:rPr>
        <w:t xml:space="preserve">Answer:</w:t>
      </w:r>
      <w:r>
        <w:rPr>
          <w:sz w:val="22"/>
          <w:szCs w:val="22"/>
        </w:rPr>
        <w:t xml:space="preserve"> $3,820,000 total capital cost for package A.</w:t>
      </w:r>
    </w:p>
    <w:p>
      <w:pPr>
        <w:spacing w:after="100" w:line="264"/>
      </w:pPr>
      <w:r>
        <w:rPr>
          <w:b/>
          <w:bCs/>
          <w:sz w:val="22"/>
          <w:szCs w:val="22"/>
        </w:rPr>
        <w:t xml:space="preserve">Answer:</w:t>
      </w:r>
      <w:r>
        <w:rPr>
          <w:sz w:val="22"/>
          <w:szCs w:val="22"/>
        </w:rPr>
        <w:t xml:space="preserve"> 695.7 acre-feet, package A's lowest storage at 1.2 percent growth, at the end of September in Year 15.</w:t>
      </w:r>
    </w:p>
    <w:p>
      <w:pPr>
        <w:spacing w:after="100" w:line="264"/>
      </w:pPr>
      <w:r>
        <w:rPr>
          <w:b/>
          <w:bCs/>
          <w:sz w:val="22"/>
          <w:szCs w:val="22"/>
        </w:rPr>
        <w:t xml:space="preserve">Answer:</w:t>
      </w:r>
      <w:r>
        <w:rPr>
          <w:sz w:val="22"/>
          <w:szCs w:val="22"/>
        </w:rPr>
        <w:t xml:space="preserve"> 341.4 acre-feet, package A's lowest storage with Years 14 and 15 dry, at the end of October in Year 15 (Year 14 bottoms out at 374.8 acre-feet in October).</w:t>
      </w:r>
    </w:p>
    <w:p>
      <w:pPr>
        <w:spacing w:after="100" w:line="264"/>
      </w:pPr>
      <w:r>
        <w:rPr>
          <w:b/>
          <w:bCs/>
          <w:sz w:val="22"/>
          <w:szCs w:val="22"/>
        </w:rPr>
        <w:t xml:space="preserve">Answer:</w:t>
      </w:r>
      <w:r>
        <w:rPr>
          <w:sz w:val="22"/>
          <w:szCs w:val="22"/>
        </w:rPr>
        <w:t xml:space="preserve"> At 2.4 percent growth, package A first falls below the reserve at the end of October in Year 14, at 286.2 acre-feet, and its lowest storage is 207.5 acre-feet at the end of October in Year 15, so the drought reserve is the constraint that fails.</w:t>
      </w:r>
    </w:p>
    <w:p>
      <w:pPr>
        <w:spacing w:after="100" w:line="264"/>
      </w:pPr>
      <w:r>
        <w:rPr>
          <w:b/>
          <w:bCs/>
          <w:sz w:val="22"/>
          <w:szCs w:val="22"/>
        </w:rPr>
        <w:t xml:space="preserve">Sample package B (revised from A, passes all three tests).</w:t>
      </w:r>
      <w:r>
        <w:rPr>
          <w:sz w:val="22"/>
          <w:szCs w:val="22"/>
        </w:rPr>
        <w:t xml:space="preserve"> Adding dredging raises the total to $3,820,000 + $1,800,000 = $5,620,000, which is $380,000 under the cap.</w:t>
      </w:r>
    </w:p>
    <w:p>
      <w:pPr>
        <w:spacing w:after="100" w:line="264"/>
      </w:pPr>
      <w:r>
        <w:rPr>
          <w:b/>
          <w:bCs/>
          <w:sz w:val="22"/>
          <w:szCs w:val="22"/>
        </w:rPr>
        <w:t xml:space="preserve">Answer:</w:t>
      </w:r>
      <w:r>
        <w:rPr>
          <w:sz w:val="22"/>
          <w:szCs w:val="22"/>
        </w:rPr>
        <w:t xml:space="preserve"> $5,620,000 total capital cost for package B.</w:t>
      </w:r>
    </w:p>
    <w:p>
      <w:pPr>
        <w:spacing w:after="100" w:line="264"/>
      </w:pPr>
      <w:r>
        <w:rPr>
          <w:b/>
          <w:bCs/>
          <w:sz w:val="22"/>
          <w:szCs w:val="22"/>
        </w:rPr>
        <w:t xml:space="preserve">Answer:</w:t>
      </w:r>
      <w:r>
        <w:rPr>
          <w:sz w:val="22"/>
          <w:szCs w:val="22"/>
        </w:rPr>
        <w:t xml:space="preserve"> 875.7 acre-feet at 1.2 percent growth (end of September, Year 15), 521.4 acre-feet with Years 14 and 15 dry (end of October, Year 15), and 387.5 acre-feet at 2.4 percent growth (end of October, Year 15).</w:t>
      </w:r>
    </w:p>
    <w:p>
      <w:pPr>
        <w:spacing w:after="100" w:line="264"/>
      </w:pPr>
      <w:r>
        <w:rPr>
          <w:b/>
          <w:bCs/>
          <w:sz w:val="22"/>
          <w:szCs w:val="22"/>
        </w:rPr>
        <w:t xml:space="preserve">Common misjudgment.</w:t>
      </w:r>
      <w:r>
        <w:rPr>
          <w:sz w:val="22"/>
          <w:szCs w:val="22"/>
        </w:rPr>
        <w:t xml:space="preserve"> Tiered rates and turf rebates alone cost $720,000 and keep the reservoir above the reserve in every normal year (lowest 358.8 acre-feet in Year 15), yet in the dry-year test storage falls to 37.8 acre-feet in October of Year 14, and the reservoir runs dry in Year 15. A team that stops after the normal-year run will believe this cheaper package is enough. Other passing packages exist, such as tiered rates, leak repair, the new well, and dredging for $5,870,000, so judge each team's package by its own model output against this reference.</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Ostlin's Drought Plan: A Spreadsheet Water Budget</dc:title>
  <dc:subject>Project · Grade 10 · Science</dc:subject>
  <dc:creator>Water for Schools</dc:creator>
  <cp:keywords>Project, Grade 10, Science</cp:keywords>
  <dc:description>A five-session grade 10 project where teams build a monthly spreadsheet water budget for a growing town, stress-test it, and choose a 15-year drought plan.</dc:description>
  <cp:lastModifiedBy>Water for Schools</cp:lastModifiedBy>
  <cp:revision>1</cp:revision>
  <dcterms:created xsi:type="dcterms:W3CDTF">2026-10-19T16:29:17.522Z</dcterms:created>
  <dcterms:modified xsi:type="dcterms:W3CDTF">2026-10-19T16:29:17.522Z</dcterms:modified>
</cp:coreProperties>
</file>

<file path=docProps/custom.xml><?xml version="1.0" encoding="utf-8"?>
<Properties xmlns="http://schemas.openxmlformats.org/officeDocument/2006/custom-properties" xmlns:vt="http://schemas.openxmlformats.org/officeDocument/2006/docPropsVTypes"/>
</file>