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Surface Area and Evaporation: A Science Fair Investigation</w:t>
      </w:r>
    </w:p>
    <w:p>
      <w:pPr>
        <w:keepNext/>
        <w:spacing w:after="160"/>
      </w:pPr>
      <w:r>
        <w:rPr>
          <w:color w:val="5B6B70"/>
          <w:sz w:val="20"/>
          <w:szCs w:val="20"/>
        </w:rPr>
        <w:t xml:space="preserve">Project · Grade 6 · Science</w:t>
      </w:r>
    </w:p>
    <w:p>
      <w:pPr>
        <w:spacing w:after="100" w:line="264"/>
      </w:pPr>
      <w:r>
        <w:rPr>
          <w:i/>
          <w:iCs/>
          <w:color w:val="12333F"/>
          <w:sz w:val="22"/>
          <w:szCs w:val="22"/>
        </w:rPr>
        <w:t xml:space="preserve">A five-session, two-week grade 6 science fair project testing whether container opening size changes evaporation rate, with data logging and graphing.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straight-sided containers with different opening sizes per team, labeled A (smallest), B (medium), and C (largest) — e.g., a tall glass, a wide-mouth jar, and a shallow pan</w:t>
            </w:r>
          </w:p>
          <w:p>
            <w:pPr>
              <w:spacing w:after="0"/>
            </w:pPr>
            <w:r>
              <w:rPr>
                <w:sz w:val="20"/>
                <w:szCs w:val="20"/>
              </w:rPr>
              <w:t xml:space="preserve">• 900 mL of water per team (300 mL per container), plus a measuring cup or graduated cylinder</w:t>
            </w:r>
          </w:p>
          <w:p>
            <w:pPr>
              <w:spacing w:after="0"/>
            </w:pPr>
            <w:r>
              <w:rPr>
                <w:sz w:val="20"/>
                <w:szCs w:val="20"/>
              </w:rPr>
              <w:t xml:space="preserve">• 1 digital kitchen or gram scale per team (mass method) OR 1 ruler plus a thin straw/dowel as a dipstick (depth method)</w:t>
            </w:r>
          </w:p>
          <w:p>
            <w:pPr>
              <w:spacing w:after="0"/>
            </w:pPr>
            <w:r>
              <w:rPr>
                <w:sz w:val="20"/>
                <w:szCs w:val="20"/>
              </w:rPr>
              <w:t xml:space="preserve">• 1 sheet of 1 cm grid paper per team, for tracing container openings</w:t>
            </w:r>
          </w:p>
          <w:p>
            <w:pPr>
              <w:spacing w:after="0"/>
            </w:pPr>
            <w:r>
              <w:rPr>
                <w:sz w:val="20"/>
                <w:szCs w:val="20"/>
              </w:rPr>
              <w:t xml:space="preserve">• masking tape and a permanent marker per team, for labeling containers</w:t>
            </w:r>
          </w:p>
          <w:p>
            <w:pPr>
              <w:spacing w:after="0"/>
            </w:pPr>
            <w:r>
              <w:rPr>
                <w:sz w:val="20"/>
                <w:szCs w:val="20"/>
              </w:rPr>
              <w:t xml:space="preserve">• 1 daily data log sheet (template provided) and a pencil per team</w:t>
            </w:r>
          </w:p>
          <w:p>
            <w:pPr>
              <w:spacing w:after="0"/>
            </w:pPr>
            <w:r>
              <w:rPr>
                <w:sz w:val="20"/>
                <w:szCs w:val="20"/>
              </w:rPr>
              <w:t xml:space="preserve">• a shared classroom location (windowsill or shelf) away from vents, drafts, and direct sun, undisturbed for two weeks</w:t>
            </w:r>
          </w:p>
          <w:p>
            <w:pPr>
              <w:spacing w:after="0"/>
            </w:pPr>
            <w:r>
              <w:rPr>
                <w:sz w:val="20"/>
                <w:szCs w:val="20"/>
              </w:rPr>
              <w:t xml:space="preserve">• graph paper or graphing software per team, for the final graphs</w:t>
            </w:r>
          </w:p>
          <w:p>
            <w:pPr>
              <w:spacing w:after="0"/>
            </w:pPr>
            <w:r>
              <w:rPr>
                <w:sz w:val="20"/>
                <w:szCs w:val="20"/>
              </w:rPr>
              <w:t xml:space="preserve">• poster board or a tri-fold display board per team,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and carry out a controlled investigation testing whether a container's surface area affects its evaporation rate.</w:t>
      </w:r>
    </w:p>
    <w:p>
      <w:pPr>
        <w:pStyle w:val="ListParagraph"/>
        <w:keepNext/>
        <w:keepLines/>
        <w:numPr>
          <w:ilvl w:val="0"/>
          <w:numId w:val="2"/>
        </w:numPr>
        <w:spacing w:after="60" w:line="264"/>
        <w:ind w:left="720" w:hanging="360"/>
      </w:pPr>
      <w:r>
        <w:rPr>
          <w:sz w:val="22"/>
          <w:szCs w:val="22"/>
        </w:rPr>
        <w:t xml:space="preserve">Students will calculate each container's surface area and its unit rate of water lost per day.</w:t>
      </w:r>
    </w:p>
    <w:p>
      <w:pPr>
        <w:pStyle w:val="ListParagraph"/>
        <w:keepNext/>
        <w:keepLines/>
        <w:numPr>
          <w:ilvl w:val="0"/>
          <w:numId w:val="2"/>
        </w:numPr>
        <w:spacing w:after="60" w:line="264"/>
        <w:ind w:left="720" w:hanging="360"/>
      </w:pPr>
      <w:r>
        <w:rPr>
          <w:sz w:val="22"/>
          <w:szCs w:val="22"/>
        </w:rPr>
        <w:t xml:space="preserve">Students will graph daily and cumulative water-loss data and compare the pattern to each container's surface area.</w:t>
      </w:r>
    </w:p>
    <w:p>
      <w:pPr>
        <w:pStyle w:val="ListParagraph"/>
        <w:keepLines/>
        <w:numPr>
          <w:ilvl w:val="0"/>
          <w:numId w:val="2"/>
        </w:numPr>
        <w:spacing w:after="60" w:line="264"/>
        <w:ind w:left="720" w:hanging="360"/>
      </w:pPr>
      <w:r>
        <w:rPr>
          <w:sz w:val="22"/>
          <w:szCs w:val="22"/>
        </w:rPr>
        <w:t xml:space="preserve">Students will write an evidence-based conclusion, including what to conclude when the data does not support the hypothesis.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In the Project Brief's background section, students model evaporation as water changing state at an exposed surface, the same sun-driven process within Earth's water cycle that this standard addresses.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Milestone 3, students use their day-by-day data table to calculate each container's unit rate of water lost in grams or milliliters per day, applying this standard's rate reasoning to real measured data.</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surface area, hypothesis, independent variable, dependent variable, controlled variable, unit rate, data log</w:t>
      </w:r>
    </w:p>
    <w:p>
      <w:pPr>
        <w:pStyle w:val="Heading2"/>
        <w:keepNext/>
        <w:keepLines/>
      </w:pPr>
      <w:r>
        <w:rPr>
          <w:sz w:val="28"/>
          <w:szCs w:val="28"/>
        </w:rPr>
        <w:t xml:space="preserve">Teacher overview</w:t>
      </w:r>
    </w:p>
    <w:p>
      <w:pPr>
        <w:spacing w:after="100" w:line="264"/>
      </w:pPr>
      <w:r>
        <w:rPr>
          <w:sz w:val="22"/>
          <w:szCs w:val="22"/>
        </w:rPr>
        <w:t xml:space="preserve">Water left sitting in an open container slowly disappears, evaporating into the surrounding air. This project turns that everyday fact into a testable question: does the size of a container's opening change how quickly the water disappears? Working in teams, students pour an identical amount of water into three straight-sided containers with different opening widths, take a short measurement each school day for two weeks, and graph the results. The final deliverable is a completed data log, two labeled graphs, and a written conclusion, presented on a science fair board or in a short report.</w:t>
      </w:r>
    </w:p>
    <w:p>
      <w:pPr>
        <w:spacing w:after="100" w:line="264"/>
      </w:pPr>
      <w:r>
        <w:rPr>
          <w:sz w:val="22"/>
          <w:szCs w:val="22"/>
        </w:rPr>
        <w:t xml:space="preserve">The same question matters well beyond the classroom. Reservoirs, irrigation ponds, and open water-storage tanks all lose water to evaporation, and in hot, dry, or windy regions this loss is a genuine concern for the utilities and farmers who depend on that stored water. A reservoir with a large surface area exposed to sun and wind loses more water to evaporation than a narrower, deeper reservoir holding the same volume, which is one reason water managers in dry climates sometimes consider covers or shading for open storage. This project does not attempt to reproduce reservoir-scale numbers; it tests the same underlying relationship between surface area and evaporation at a scale students can measure directly, using ordinary classroom containers.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pre-drawn data log with the Day column already filled in through Day 9, and give teams each container's surface area already calculated so they can focus on measuring, calculating rate, and graphing. Offer the hypothesis frame with the prediction choices ("faster," "slower," "the same rate") already listed to circle, and pair students so one partner measures while the other records.</w:t>
      </w:r>
    </w:p>
    <w:p>
      <w:pPr>
        <w:pStyle w:val="Heading3"/>
        <w:keepNext/>
        <w:keepLines/>
      </w:pPr>
      <w:r>
        <w:rPr>
          <w:sz w:val="24"/>
          <w:szCs w:val="24"/>
        </w:rPr>
        <w:t xml:space="preserve">Extension (above grade level)</w:t>
      </w:r>
    </w:p>
    <w:p>
      <w:pPr>
        <w:spacing w:after="100" w:line="264"/>
      </w:pPr>
      <w:r>
        <w:rPr>
          <w:sz w:val="22"/>
          <w:szCs w:val="22"/>
        </w:rPr>
        <w:t xml:space="preserve">Ask teams to calculate the surface-area-to-volume ratio for each container at Day 0, then check whether the container with the highest ratio also shows the highest average daily rate. Advanced teams can add a fourth container with an even larger opening, or loosely cover one container with plastic wrap poked with a few small holes and predict beforehand how a partial cover should change its rate.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evaporation</w:t>
      </w:r>
      <w:r>
        <w:rPr>
          <w:sz w:val="22"/>
          <w:szCs w:val="22"/>
        </w:rPr>
        <w:t xml:space="preserve">, </w:t>
      </w:r>
      <w:r>
        <w:rPr>
          <w:i/>
          <w:iCs/>
          <w:sz w:val="22"/>
          <w:szCs w:val="22"/>
        </w:rPr>
        <w:t xml:space="preserve">surface area</w:t>
      </w:r>
      <w:r>
        <w:rPr>
          <w:sz w:val="22"/>
          <w:szCs w:val="22"/>
        </w:rPr>
        <w:t xml:space="preserve">, </w:t>
      </w:r>
      <w:r>
        <w:rPr>
          <w:i/>
          <w:iCs/>
          <w:sz w:val="22"/>
          <w:szCs w:val="22"/>
        </w:rPr>
        <w:t xml:space="preserve">hypothesis</w:t>
      </w:r>
      <w:r>
        <w:rPr>
          <w:sz w:val="22"/>
          <w:szCs w:val="22"/>
        </w:rPr>
        <w:t xml:space="preserve">, and </w:t>
      </w:r>
      <w:r>
        <w:rPr>
          <w:i/>
          <w:iCs/>
          <w:sz w:val="22"/>
          <w:szCs w:val="22"/>
        </w:rPr>
        <w:t xml:space="preserve">rate</w:t>
      </w:r>
      <w:r>
        <w:rPr>
          <w:sz w:val="22"/>
          <w:szCs w:val="22"/>
        </w:rPr>
        <w:t xml:space="preserve"> using the containers themselves as visual references, alongside a labeled diagram showing water molecules escaping from an open surface. Allow the hypothesis and conclusion to be written using sentence frames, and provide the data log with both words and a simple icon key, such as a rising arrow for "more evaporation" and a flat line for "little change."</w:t>
      </w:r>
    </w:p>
    <w:p>
      <w:pPr>
        <w:pStyle w:val="Heading2"/>
        <w:keepNext/>
        <w:keepLines/>
      </w:pPr>
      <w:r>
        <w:rPr>
          <w:sz w:val="28"/>
          <w:szCs w:val="28"/>
        </w:rPr>
        <w:t xml:space="preserve">Extensions</w:t>
      </w:r>
    </w:p>
    <w:p>
      <w:pPr>
        <w:spacing w:after="100" w:line="264"/>
      </w:pPr>
      <w:r>
        <w:rPr>
          <w:sz w:val="22"/>
          <w:szCs w:val="22"/>
        </w:rPr>
        <w:t xml:space="preserve">Teams that finish early can repeat the investigation with warm tap water instead of room-temperature water in all three containers, predicting and then checking whether warmer starting water changes the pattern between containers or simply speeds up all three together. A class that wants a longer comparison can extend the investigation to three full weeks and check whether the relationship between surface area and rate holds steady as the school year's weather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Surface Area and Evaporation: A Science Fair Investigation</w:t>
      </w:r>
    </w:p>
    <w:p>
      <w:pPr>
        <w:keepNext/>
        <w:spacing w:after="160"/>
      </w:pPr>
      <w:r>
        <w:rPr>
          <w:color w:val="5B6B70"/>
          <w:sz w:val="20"/>
          <w:szCs w:val="20"/>
        </w:rPr>
        <w:t xml:space="preserve">Grade 6 · Science</w:t>
      </w:r>
    </w:p>
    <w:p>
      <w:pPr>
        <w:pStyle w:val="Heading2"/>
        <w:keepNext/>
        <w:keepLines/>
      </w:pPr>
      <w:r>
        <w:rPr>
          <w:sz w:val="28"/>
          <w:szCs w:val="28"/>
        </w:rPr>
        <w:t xml:space="preserve">Project Brief</w:t>
      </w:r>
    </w:p>
    <w:p>
      <w:pPr>
        <w:spacing w:after="120" w:line="276"/>
      </w:pPr>
      <w:r>
        <w:rPr>
          <w:b/>
          <w:bCs/>
          <w:sz w:val="22"/>
          <w:szCs w:val="22"/>
        </w:rPr>
        <w:t xml:space="preserve">Testable question:</w:t>
      </w:r>
      <w:r>
        <w:rPr>
          <w:sz w:val="22"/>
          <w:szCs w:val="22"/>
        </w:rPr>
        <w:t xml:space="preserve"> Does the surface area of a container's opening change how fast water evaporates? Every container in this test starts with the same volume of water.</w:t>
      </w:r>
    </w:p>
    <w:p>
      <w:pPr>
        <w:spacing w:after="120" w:line="276"/>
      </w:pPr>
      <w:r>
        <w:rPr>
          <w:b/>
          <w:bCs/>
          <w:sz w:val="22"/>
          <w:szCs w:val="22"/>
        </w:rPr>
        <w:t xml:space="preserve">Write a hypothesis.</w:t>
      </w:r>
      <w:r>
        <w:rPr>
          <w:sz w:val="22"/>
          <w:szCs w:val="22"/>
        </w:rPr>
        <w:t xml:space="preserve"> A hypothesis is a prediction you can test. Fill in this sentence before you collect any data:</w:t>
      </w:r>
    </w:p>
    <w:p>
      <w:pPr>
        <w:spacing w:after="120" w:line="276"/>
      </w:pPr>
      <w:r>
        <w:rPr>
          <w:i/>
          <w:iCs/>
          <w:sz w:val="22"/>
          <w:szCs w:val="22"/>
        </w:rPr>
        <w:t xml:space="preserve">"If a container has a larger opening, then it will lose water (faster / slower / at the same rate) than a container with a smaller opening, because ___."</w:t>
      </w:r>
    </w:p>
    <w:p>
      <w:pPr>
        <w:spacing w:after="120" w:line="276"/>
      </w:pPr>
      <w:r>
        <w:rPr>
          <w:sz w:val="22"/>
          <w:szCs w:val="22"/>
        </w:rPr>
        <w:t xml:space="preserve">Write your reason in the blank before Day 0. Do not change your hypothesis once the test starts.</w:t>
      </w:r>
    </w:p>
    <w:p>
      <w:pPr>
        <w:spacing w:after="120" w:line="276"/>
      </w:pPr>
      <w:r>
        <w:rPr>
          <w:b/>
          <w:bCs/>
          <w:sz w:val="22"/>
          <w:szCs w:val="22"/>
        </w:rPr>
        <w:t xml:space="preserve">Why surface area might matter.</w:t>
      </w:r>
      <w:r>
        <w:rPr>
          <w:sz w:val="22"/>
          <w:szCs w:val="22"/>
        </w:rPr>
        <w:t xml:space="preserve"> Evaporation happens at the top of the water. Water molecules there can gain enough energy to break free. They escape into the air as vapor. Molecules deeper in the container cannot escape this way. A wider opening puts more molecules next to the air at once. More molecules can escape each hour. This happens even though every container starts with the same volume.</w:t>
      </w:r>
    </w:p>
    <w:p>
      <w:pPr>
        <w:keepNext/>
        <w:keepLines/>
        <w:spacing w:after="120" w:line="276"/>
      </w:pPr>
      <w:r>
        <w:rPr>
          <w:b/>
          <w:bCs/>
          <w:sz w:val="22"/>
          <w:szCs w:val="22"/>
        </w:rPr>
        <w:t xml:space="preserve">Variables in this investigation.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3311"/>
        <w:gridCol w:w="4907"/>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Variable type</w:t>
            </w:r>
          </w:p>
        </w:tc>
        <w:tc>
          <w:tcPr>
            <w:tcW w:type="dxa" w:w="33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is here</w:t>
            </w:r>
          </w:p>
        </w:tc>
        <w:tc>
          <w:tcPr>
            <w:tcW w:type="dxa" w:w="49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is controlled or measured</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Independent variable</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The surface area of each container's opening</w:t>
            </w:r>
          </w:p>
        </w:tc>
        <w:tc>
          <w:tcPr>
            <w:tcW w:type="dxa" w:w="4907"/>
            <w:tcMar>
              <w:top w:type="dxa" w:w="70"/>
              <w:left w:type="dxa" w:w="100"/>
              <w:bottom w:type="dxa" w:w="70"/>
              <w:right w:type="dxa" w:w="100"/>
            </w:tcMar>
            <w:vAlign w:val="top"/>
          </w:tcPr>
          <w:p>
            <w:pPr>
              <w:keepNext/>
              <w:spacing w:after="0" w:line="252"/>
              <w:jc w:val="left"/>
            </w:pPr>
            <w:r>
              <w:rPr>
                <w:sz w:val="22"/>
                <w:szCs w:val="22"/>
              </w:rPr>
              <w:t xml:space="preserve">Three straight-sided containers (A, B, C) with different opening sizes, set before Day 0</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Dependent variable</w:t>
            </w:r>
          </w:p>
        </w:tc>
        <w:tc>
          <w:tcPr>
            <w:tcW w:type="dxa" w:w="3311"/>
            <w:tcMar>
              <w:top w:type="dxa" w:w="70"/>
              <w:left w:type="dxa" w:w="100"/>
              <w:bottom w:type="dxa" w:w="70"/>
              <w:right w:type="dxa" w:w="100"/>
            </w:tcMar>
            <w:vAlign w:val="top"/>
          </w:tcPr>
          <w:p>
            <w:pPr>
              <w:keepNext/>
              <w:spacing w:after="0" w:line="252"/>
              <w:jc w:val="left"/>
            </w:pPr>
            <w:r>
              <w:rPr>
                <w:sz w:val="22"/>
                <w:szCs w:val="22"/>
              </w:rPr>
              <w:t xml:space="preserve">The amount of water lost per day</w:t>
            </w:r>
          </w:p>
        </w:tc>
        <w:tc>
          <w:tcPr>
            <w:tcW w:type="dxa" w:w="4907"/>
            <w:tcMar>
              <w:top w:type="dxa" w:w="70"/>
              <w:left w:type="dxa" w:w="100"/>
              <w:bottom w:type="dxa" w:w="70"/>
              <w:right w:type="dxa" w:w="100"/>
            </w:tcMar>
            <w:vAlign w:val="top"/>
          </w:tcPr>
          <w:p>
            <w:pPr>
              <w:keepNext/>
              <w:spacing w:after="0" w:line="252"/>
              <w:jc w:val="left"/>
            </w:pPr>
            <w:r>
              <w:rPr>
                <w:sz w:val="22"/>
                <w:szCs w:val="22"/>
              </w:rPr>
              <w:t xml:space="preserve">Measured daily as mass in grams or depth in millimeters</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Controlled variables</w:t>
            </w:r>
          </w:p>
        </w:tc>
        <w:tc>
          <w:tcPr>
            <w:tcW w:type="dxa" w:w="3311"/>
            <w:tcMar>
              <w:top w:type="dxa" w:w="70"/>
              <w:left w:type="dxa" w:w="100"/>
              <w:bottom w:type="dxa" w:w="70"/>
              <w:right w:type="dxa" w:w="100"/>
            </w:tcMar>
            <w:vAlign w:val="top"/>
          </w:tcPr>
          <w:p>
            <w:pPr>
              <w:spacing w:after="0" w:line="252"/>
              <w:jc w:val="left"/>
            </w:pPr>
            <w:r>
              <w:rPr>
                <w:sz w:val="22"/>
                <w:szCs w:val="22"/>
              </w:rPr>
              <w:t xml:space="preserve">Starting volume, location, temperature and draft, start date and time</w:t>
            </w:r>
          </w:p>
        </w:tc>
        <w:tc>
          <w:tcPr>
            <w:tcW w:type="dxa" w:w="4907"/>
            <w:tcMar>
              <w:top w:type="dxa" w:w="70"/>
              <w:left w:type="dxa" w:w="100"/>
              <w:bottom w:type="dxa" w:w="70"/>
              <w:right w:type="dxa" w:w="100"/>
            </w:tcMar>
            <w:vAlign w:val="top"/>
          </w:tcPr>
          <w:p>
            <w:pPr>
              <w:spacing w:after="0" w:line="252"/>
              <w:jc w:val="left"/>
            </w:pPr>
            <w:r>
              <w:rPr>
                <w:sz w:val="22"/>
                <w:szCs w:val="22"/>
              </w:rPr>
              <w:t xml:space="preserve">Same volume in every container; all three sit in one spot; readings taken at the same time each day</w:t>
            </w:r>
          </w:p>
        </w:tc>
      </w:tr>
    </w:tbl>
    <w:p>
      <w:pPr>
        <w:spacing w:after="160" w:before="0"/>
      </w:pPr>
    </w:p>
    <w:p>
      <w:pPr>
        <w:keepNext/>
        <w:keepLines/>
        <w:spacing w:after="120" w:line="276"/>
      </w:pPr>
      <w:r>
        <w:rPr>
          <w:b/>
          <w:bCs/>
          <w:sz w:val="22"/>
          <w:szCs w:val="22"/>
        </w:rPr>
        <w:t xml:space="preserve">Materials, per team.</w:t>
      </w:r>
    </w:p>
    <w:p>
      <w:pPr>
        <w:pStyle w:val="ListParagraph"/>
        <w:keepLines/>
        <w:numPr>
          <w:ilvl w:val="0"/>
          <w:numId w:val="3"/>
        </w:numPr>
        <w:spacing w:after="60" w:line="276"/>
        <w:ind w:left="720" w:hanging="360"/>
      </w:pPr>
      <w:r>
        <w:rPr>
          <w:sz w:val="22"/>
          <w:szCs w:val="22"/>
        </w:rPr>
        <w:t xml:space="preserve">3 straight-sided containers with different opening sizes: Container A (smallest opening), Container B (medium opening), Container C (largest opening). Example set: a tall glass, a wide-mouth jar, a shallow pan.</w:t>
      </w:r>
    </w:p>
    <w:p>
      <w:pPr>
        <w:pStyle w:val="ListParagraph"/>
        <w:keepLines/>
        <w:numPr>
          <w:ilvl w:val="0"/>
          <w:numId w:val="3"/>
        </w:numPr>
        <w:spacing w:after="60" w:line="276"/>
        <w:ind w:left="720" w:hanging="360"/>
      </w:pPr>
      <w:r>
        <w:rPr>
          <w:sz w:val="22"/>
          <w:szCs w:val="22"/>
        </w:rPr>
        <w:t xml:space="preserve">Straight sides only. A narrow-necked bottle changes shape at different fill heights, so its water surface would not match its opening.</w:t>
      </w:r>
    </w:p>
    <w:p>
      <w:pPr>
        <w:pStyle w:val="ListParagraph"/>
        <w:keepLines/>
        <w:numPr>
          <w:ilvl w:val="0"/>
          <w:numId w:val="3"/>
        </w:numPr>
        <w:spacing w:after="60" w:line="276"/>
        <w:ind w:left="720" w:hanging="360"/>
      </w:pPr>
      <w:r>
        <w:rPr>
          <w:sz w:val="22"/>
          <w:szCs w:val="22"/>
        </w:rPr>
        <w:t xml:space="preserve">900 mL of water total: 300 mL for each container. A measuring cup or graduated cylinder for pouring.</w:t>
      </w:r>
    </w:p>
    <w:p>
      <w:pPr>
        <w:pStyle w:val="ListParagraph"/>
        <w:keepLines/>
        <w:numPr>
          <w:ilvl w:val="0"/>
          <w:numId w:val="3"/>
        </w:numPr>
        <w:spacing w:after="60" w:line="276"/>
        <w:ind w:left="720" w:hanging="360"/>
      </w:pPr>
      <w:r>
        <w:rPr>
          <w:sz w:val="22"/>
          <w:szCs w:val="22"/>
        </w:rPr>
        <w:t xml:space="preserve">1 digital kitchen or gram scale for the mass method, OR 1 ruler plus a thin straw or dowel as a dipstick for the depth method.</w:t>
      </w:r>
    </w:p>
    <w:p>
      <w:pPr>
        <w:pStyle w:val="ListParagraph"/>
        <w:keepLines/>
        <w:numPr>
          <w:ilvl w:val="0"/>
          <w:numId w:val="3"/>
        </w:numPr>
        <w:spacing w:after="60" w:line="276"/>
        <w:ind w:left="720" w:hanging="360"/>
      </w:pPr>
      <w:r>
        <w:rPr>
          <w:sz w:val="22"/>
          <w:szCs w:val="22"/>
        </w:rPr>
        <w:t xml:space="preserve">1 sheet of 1 cm grid paper, for tracing each container's opening.</w:t>
      </w:r>
    </w:p>
    <w:p>
      <w:pPr>
        <w:pStyle w:val="ListParagraph"/>
        <w:keepLines/>
        <w:numPr>
          <w:ilvl w:val="0"/>
          <w:numId w:val="3"/>
        </w:numPr>
        <w:spacing w:after="60" w:line="276"/>
        <w:ind w:left="720" w:hanging="360"/>
      </w:pPr>
      <w:r>
        <w:rPr>
          <w:sz w:val="22"/>
          <w:szCs w:val="22"/>
        </w:rPr>
        <w:t xml:space="preserve">Masking tape and a permanent marker, for labeling A, B, and C.</w:t>
      </w:r>
    </w:p>
    <w:p>
      <w:pPr>
        <w:pStyle w:val="ListParagraph"/>
        <w:keepLines/>
        <w:numPr>
          <w:ilvl w:val="0"/>
          <w:numId w:val="3"/>
        </w:numPr>
        <w:spacing w:after="60" w:line="276"/>
        <w:ind w:left="720" w:hanging="360"/>
      </w:pPr>
      <w:r>
        <w:rPr>
          <w:sz w:val="22"/>
          <w:szCs w:val="22"/>
        </w:rPr>
        <w:t xml:space="preserve">1 data log sheet (template below) and a pencil.</w:t>
      </w:r>
    </w:p>
    <w:p>
      <w:pPr>
        <w:pStyle w:val="ListParagraph"/>
        <w:keepLines/>
        <w:numPr>
          <w:ilvl w:val="0"/>
          <w:numId w:val="3"/>
        </w:numPr>
        <w:spacing w:after="60" w:line="276"/>
        <w:ind w:left="720" w:hanging="360"/>
      </w:pPr>
      <w:r>
        <w:rPr>
          <w:sz w:val="22"/>
          <w:szCs w:val="22"/>
        </w:rPr>
        <w:t xml:space="preserve">A shared spot, such as a windowsill or shelf, away from vents, drafts, and direct sun. The containers stay here, undisturbed, for two weeks.</w:t>
      </w:r>
    </w:p>
    <w:p>
      <w:pPr>
        <w:pStyle w:val="ListParagraph"/>
        <w:keepLines/>
        <w:numPr>
          <w:ilvl w:val="0"/>
          <w:numId w:val="3"/>
        </w:numPr>
        <w:spacing w:after="60" w:line="276"/>
        <w:ind w:left="720" w:hanging="360"/>
      </w:pPr>
      <w:r>
        <w:rPr>
          <w:sz w:val="22"/>
          <w:szCs w:val="22"/>
        </w:rPr>
        <w:t xml:space="preserve">Graph paper or graphing software, for the final graphs.</w:t>
      </w:r>
    </w:p>
    <w:p>
      <w:pPr>
        <w:pStyle w:val="ListParagraph"/>
        <w:keepLines/>
        <w:numPr>
          <w:ilvl w:val="0"/>
          <w:numId w:val="3"/>
        </w:numPr>
        <w:spacing w:after="60" w:line="276"/>
        <w:ind w:left="720" w:hanging="360"/>
      </w:pPr>
      <w:r>
        <w:rPr>
          <w:sz w:val="22"/>
          <w:szCs w:val="22"/>
        </w:rPr>
        <w:t xml:space="preserve">Poster board or a tri-fold display board, for the final presentation.</w:t>
      </w:r>
    </w:p>
    <w:p>
      <w:pPr>
        <w:spacing w:after="40" w:before="0" w:line="120" w:lineRule="exact"/>
      </w:pPr>
    </w:p>
    <w:p>
      <w:pPr>
        <w:spacing w:after="120" w:line="276"/>
      </w:pPr>
      <w:r>
        <w:rPr>
          <w:b/>
          <w:bCs/>
          <w:sz w:val="22"/>
          <w:szCs w:val="22"/>
        </w:rPr>
        <w:t xml:space="preserve">Data log template.</w:t>
      </w:r>
      <w:r>
        <w:rPr>
          <w:sz w:val="22"/>
          <w:szCs w:val="22"/>
        </w:rPr>
        <w:t xml:space="preserve"> Copy this table onto the data log sheet. Record one row per day, using mass in grams or depth in millimeters, matching the method the team picked before Day 0. One milliliter of water weighs about one gram, so a team using the mass method can weigh each container empty, subtract that mass from its Day 0 reading, and check the result against the starting volume that was poured.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765"/>
        <w:gridCol w:w="3486"/>
        <w:gridCol w:w="3485"/>
        <w:gridCol w:w="3485"/>
        <w:gridCol w:w="95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w:t>
            </w:r>
          </w:p>
        </w:tc>
        <w:tc>
          <w:tcPr>
            <w:tcW w:type="dxa" w:w="7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34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Container A reading</w:t>
            </w:r>
          </w:p>
        </w:tc>
        <w:tc>
          <w:tcPr>
            <w:tcW w:type="dxa" w:w="34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Container B reading</w:t>
            </w:r>
          </w:p>
        </w:tc>
        <w:tc>
          <w:tcPr>
            <w:tcW w:type="dxa" w:w="34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Container C reading</w:t>
            </w:r>
          </w:p>
        </w:tc>
        <w:tc>
          <w:tcPr>
            <w:tcW w:type="dxa" w:w="9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Notes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0 (baseline)</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1</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3</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4</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5</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6</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7</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8</w:t>
            </w:r>
          </w:p>
        </w:tc>
        <w:tc>
          <w:tcPr>
            <w:tcW w:type="dxa" w:w="765"/>
            <w:tcMar>
              <w:top w:type="dxa" w:w="70"/>
              <w:left w:type="dxa" w:w="100"/>
              <w:bottom w:type="dxa" w:w="70"/>
              <w:right w:type="dxa" w:w="100"/>
            </w:tcMar>
            <w:vAlign w:val="top"/>
          </w:tcPr>
          <w:p>
            <w:pPr>
              <w:keepNext/>
              <w:spacing w:after="0" w:line="252"/>
              <w:jc w:val="left"/>
            </w:pPr>
          </w:p>
        </w:tc>
        <w:tc>
          <w:tcPr>
            <w:tcW w:type="dxa" w:w="3486"/>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3485"/>
            <w:tcMar>
              <w:top w:type="dxa" w:w="70"/>
              <w:left w:type="dxa" w:w="100"/>
              <w:bottom w:type="dxa" w:w="70"/>
              <w:right w:type="dxa" w:w="100"/>
            </w:tcMar>
            <w:vAlign w:val="top"/>
          </w:tcPr>
          <w:p>
            <w:pPr>
              <w:keepNext/>
              <w:spacing w:after="0" w:line="252"/>
              <w:jc w:val="left"/>
            </w:pPr>
          </w:p>
        </w:tc>
        <w:tc>
          <w:tcPr>
            <w:tcW w:type="dxa" w:w="951"/>
            <w:tcMar>
              <w:top w:type="dxa" w:w="70"/>
              <w:left w:type="dxa" w:w="100"/>
              <w:bottom w:type="dxa" w:w="70"/>
              <w:right w:type="dxa" w:w="100"/>
            </w:tcMar>
            <w:vAlign w:val="top"/>
          </w:tcPr>
          <w:p>
            <w:pPr>
              <w:keepNext/>
              <w:spacing w:after="0" w:line="252"/>
              <w:jc w:val="left"/>
            </w:pP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9 (final)</w:t>
            </w:r>
          </w:p>
        </w:tc>
        <w:tc>
          <w:tcPr>
            <w:tcW w:type="dxa" w:w="765"/>
            <w:tcMar>
              <w:top w:type="dxa" w:w="70"/>
              <w:left w:type="dxa" w:w="100"/>
              <w:bottom w:type="dxa" w:w="70"/>
              <w:right w:type="dxa" w:w="100"/>
            </w:tcMar>
            <w:vAlign w:val="top"/>
          </w:tcPr>
          <w:p>
            <w:pPr>
              <w:spacing w:after="0" w:line="252"/>
              <w:jc w:val="left"/>
            </w:pPr>
          </w:p>
        </w:tc>
        <w:tc>
          <w:tcPr>
            <w:tcW w:type="dxa" w:w="3486"/>
            <w:tcMar>
              <w:top w:type="dxa" w:w="70"/>
              <w:left w:type="dxa" w:w="100"/>
              <w:bottom w:type="dxa" w:w="70"/>
              <w:right w:type="dxa" w:w="100"/>
            </w:tcMar>
            <w:vAlign w:val="top"/>
          </w:tcPr>
          <w:p>
            <w:pPr>
              <w:spacing w:after="0" w:line="252"/>
              <w:jc w:val="left"/>
            </w:pPr>
          </w:p>
        </w:tc>
        <w:tc>
          <w:tcPr>
            <w:tcW w:type="dxa" w:w="3485"/>
            <w:tcMar>
              <w:top w:type="dxa" w:w="70"/>
              <w:left w:type="dxa" w:w="100"/>
              <w:bottom w:type="dxa" w:w="70"/>
              <w:right w:type="dxa" w:w="100"/>
            </w:tcMar>
            <w:vAlign w:val="top"/>
          </w:tcPr>
          <w:p>
            <w:pPr>
              <w:spacing w:after="0" w:line="252"/>
              <w:jc w:val="left"/>
            </w:pPr>
          </w:p>
        </w:tc>
        <w:tc>
          <w:tcPr>
            <w:tcW w:type="dxa" w:w="3485"/>
            <w:tcMar>
              <w:top w:type="dxa" w:w="70"/>
              <w:left w:type="dxa" w:w="100"/>
              <w:bottom w:type="dxa" w:w="70"/>
              <w:right w:type="dxa" w:w="100"/>
            </w:tcMar>
            <w:vAlign w:val="top"/>
          </w:tcPr>
          <w:p>
            <w:pPr>
              <w:spacing w:after="0" w:line="252"/>
              <w:jc w:val="left"/>
            </w:pPr>
          </w:p>
        </w:tc>
        <w:tc>
          <w:tcPr>
            <w:tcW w:type="dxa" w:w="95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Fair-testing guidance.</w:t>
      </w:r>
      <w:r>
        <w:rPr>
          <w:sz w:val="22"/>
          <w:szCs w:val="22"/>
        </w:rPr>
        <w:t xml:space="preserve"> Every team must measure the same way every time.</w:t>
      </w:r>
    </w:p>
    <w:p>
      <w:pPr>
        <w:pStyle w:val="ListParagraph"/>
        <w:keepNext/>
        <w:keepLines/>
        <w:numPr>
          <w:ilvl w:val="0"/>
          <w:numId w:val="4"/>
        </w:numPr>
        <w:spacing w:after="60" w:line="276"/>
        <w:ind w:left="720" w:hanging="360"/>
      </w:pPr>
      <w:r>
        <w:rPr>
          <w:sz w:val="22"/>
          <w:szCs w:val="22"/>
        </w:rPr>
        <w:t xml:space="preserve">Pick one method, mass or depth, before Day 0. Use only that method for the whole test.</w:t>
      </w:r>
    </w:p>
    <w:p>
      <w:pPr>
        <w:pStyle w:val="ListParagraph"/>
        <w:keepNext/>
        <w:keepLines/>
        <w:numPr>
          <w:ilvl w:val="0"/>
          <w:numId w:val="4"/>
        </w:numPr>
        <w:spacing w:after="60" w:line="276"/>
        <w:ind w:left="720" w:hanging="360"/>
      </w:pPr>
      <w:r>
        <w:rPr>
          <w:sz w:val="22"/>
          <w:szCs w:val="22"/>
        </w:rPr>
        <w:t xml:space="preserve">Keep all three containers in one location for the full two weeks. Moving even one container to a sunnier or draftier spot changes its rate for a reason that has nothing to do with surface area.</w:t>
      </w:r>
    </w:p>
    <w:p>
      <w:pPr>
        <w:pStyle w:val="ListParagraph"/>
        <w:keepNext/>
        <w:keepLines/>
        <w:numPr>
          <w:ilvl w:val="0"/>
          <w:numId w:val="4"/>
        </w:numPr>
        <w:spacing w:after="60" w:line="276"/>
        <w:ind w:left="720" w:hanging="360"/>
      </w:pPr>
      <w:r>
        <w:rPr>
          <w:sz w:val="22"/>
          <w:szCs w:val="22"/>
        </w:rPr>
        <w:t xml:space="preserve">Take every measurement at the same time each day.</w:t>
      </w:r>
    </w:p>
    <w:p>
      <w:pPr>
        <w:pStyle w:val="ListParagraph"/>
        <w:keepNext/>
        <w:keepLines/>
        <w:numPr>
          <w:ilvl w:val="0"/>
          <w:numId w:val="4"/>
        </w:numPr>
        <w:spacing w:after="60" w:line="276"/>
        <w:ind w:left="720" w:hanging="360"/>
      </w:pPr>
      <w:r>
        <w:rPr>
          <w:sz w:val="22"/>
          <w:szCs w:val="22"/>
        </w:rPr>
        <w:t xml:space="preserve">Pour the exact same volume into every container. Use the same measuring cup each time.</w:t>
      </w:r>
    </w:p>
    <w:p>
      <w:pPr>
        <w:pStyle w:val="ListParagraph"/>
        <w:keepLines/>
        <w:numPr>
          <w:ilvl w:val="0"/>
          <w:numId w:val="4"/>
        </w:numPr>
        <w:spacing w:after="60" w:line="276"/>
        <w:ind w:left="720" w:hanging="360"/>
      </w:pPr>
      <w:r>
        <w:rPr>
          <w:sz w:val="22"/>
          <w:szCs w:val="22"/>
        </w:rPr>
        <w:t xml:space="preserve">Write down anything unusual, such as an open window or a running heater, in the notes column. A stray draft is the most common reason results come out mixed.</w:t>
      </w:r>
    </w:p>
    <w:p>
      <w:pPr>
        <w:spacing w:after="40" w:before="0" w:line="120" w:lineRule="exact"/>
      </w:pPr>
    </w:p>
    <w:p>
      <w:pPr>
        <w:spacing w:after="120" w:line="276"/>
      </w:pPr>
      <w:r>
        <w:rPr>
          <w:b/>
          <w:bCs/>
          <w:sz w:val="22"/>
          <w:szCs w:val="22"/>
        </w:rPr>
        <w:t xml:space="preserve">Final deliverable.</w:t>
      </w:r>
      <w:r>
        <w:rPr>
          <w:sz w:val="22"/>
          <w:szCs w:val="22"/>
        </w:rPr>
        <w:t xml:space="preserve"> Each team turns in one completed data log, two labeled graphs (built in Milestone 4), and a written conclusion (Milestone 5). These go on a poster or in a short report for a class science fair presentation.</w:t>
      </w:r>
    </w:p>
    <w:p>
      <w:pPr>
        <w:pStyle w:val="Heading2"/>
        <w:keepNext/>
        <w:keepLines/>
      </w:pPr>
      <w:r>
        <w:rPr>
          <w:sz w:val="28"/>
          <w:szCs w:val="28"/>
        </w:rPr>
        <w:t xml:space="preserve">Milestones</w:t>
      </w:r>
    </w:p>
    <w:p>
      <w:pPr>
        <w:spacing w:after="120" w:line="276"/>
      </w:pPr>
      <w:r>
        <w:rPr>
          <w:sz w:val="22"/>
          <w:szCs w:val="22"/>
        </w:rPr>
        <w:t xml:space="preserve">This project runs for ten school days, about two school weeks. It combines five formal class sessions with a short daily measurement on the other school days.</w:t>
      </w:r>
    </w:p>
    <w:p>
      <w:pPr>
        <w:spacing w:after="120" w:line="276"/>
      </w:pPr>
      <w:r>
        <w:rPr>
          <w:b/>
          <w:bCs/>
          <w:sz w:val="22"/>
          <w:szCs w:val="22"/>
        </w:rPr>
        <w:t xml:space="preserve">Daily measurement routine (other school days, about 2 to 3 minutes each).</w:t>
      </w:r>
      <w:r>
        <w:rPr>
          <w:sz w:val="22"/>
          <w:szCs w:val="22"/>
        </w:rPr>
        <w:t xml:space="preserve"> Two data recorders from each team measure that day's reading for Containers A, B, and C. They use the team's chosen method, at the same time of day used on Day 0. They add the reading to the shared data log before the next class period.</w:t>
      </w:r>
    </w:p>
    <w:p>
      <w:pPr>
        <w:pStyle w:val="ListParagraph"/>
        <w:keepLines/>
        <w:numPr>
          <w:ilvl w:val="0"/>
          <w:numId w:val="5"/>
        </w:numPr>
        <w:spacing w:after="100" w:line="276"/>
        <w:ind w:left="720" w:hanging="360"/>
      </w:pPr>
      <w:r>
        <w:rPr>
          <w:b/>
          <w:bCs/>
          <w:sz w:val="22"/>
          <w:szCs w:val="22"/>
        </w:rPr>
        <w:t xml:space="preserve">Session 1 — Day 0, about 45 minutes.</w:t>
      </w:r>
      <w:r>
        <w:rPr>
          <w:sz w:val="22"/>
          <w:szCs w:val="22"/>
        </w:rPr>
        <w:t xml:space="preserve"> The class discusses evaporation and the testable question. Each team writes its hypothesis. Teams trace each container's opening onto grid paper and count the squares to estimate its surface area in square centimeters. Teams record all three estimates on the data log. Teams pour the same volume into all three containers, take the Day 0 reading, and set the containers in the shared spot. Output: a written hypothesis, three surface-area estimates, and a Day 0 reading for every team.</w:t>
      </w:r>
    </w:p>
    <w:p>
      <w:pPr>
        <w:pStyle w:val="ListParagraph"/>
        <w:keepLines/>
        <w:numPr>
          <w:ilvl w:val="0"/>
          <w:numId w:val="5"/>
        </w:numPr>
        <w:spacing w:after="100" w:line="276"/>
        <w:ind w:left="720" w:hanging="360"/>
      </w:pPr>
      <w:r>
        <w:rPr>
          <w:b/>
          <w:bCs/>
          <w:sz w:val="22"/>
          <w:szCs w:val="22"/>
        </w:rPr>
        <w:t xml:space="preserve">Session 2 — Day 4, about 30 minutes.</w:t>
      </w:r>
      <w:r>
        <w:rPr>
          <w:sz w:val="22"/>
          <w:szCs w:val="22"/>
        </w:rPr>
        <w:t xml:space="preserve"> Teams review four days of data. They check for a missed reading or a number that looks like a mistake. Using the data from Day 0 through Day 4, each team finds a running total of water lost per container. Each team also finds an early average rate: total lost divided by the number of calendar days so far, counting weekend days. Depth-method teams first turn each depth drop into volume: the depth lost in centimeters (millimeters divided by 10) times the container's surface area in square centimeters gives milliliters lost, about the same number of grams. Every container loses about the same depth each day, so only the volume shows whether the opening size matters. Output: a data log through Day 4, with a first rate calculation for each container.</w:t>
      </w:r>
    </w:p>
    <w:p>
      <w:pPr>
        <w:pStyle w:val="ListParagraph"/>
        <w:keepLines/>
        <w:numPr>
          <w:ilvl w:val="0"/>
          <w:numId w:val="5"/>
        </w:numPr>
        <w:spacing w:after="100" w:line="276"/>
        <w:ind w:left="720" w:hanging="360"/>
      </w:pPr>
      <w:r>
        <w:rPr>
          <w:b/>
          <w:bCs/>
          <w:sz w:val="22"/>
          <w:szCs w:val="22"/>
        </w:rPr>
        <w:t xml:space="preserve">Session 3 — Day 9, about 30 minutes.</w:t>
      </w:r>
      <w:r>
        <w:rPr>
          <w:sz w:val="22"/>
          <w:szCs w:val="22"/>
        </w:rPr>
        <w:t xml:space="preserve"> Teams take the tenth and final reading. Teams then calculate two numbers per container: the total water lost across all ten days, and the average daily rate. Depth-method teams use volume lost, found the same way as in Session 2. The daily rate is the total water lost divided by the number of calendar days from the Day 0 date to the Day 9 date. Count the weekend days too, since water keeps evaporating, and use the Date column to count. Output: a completed data log and a finished table of totals and daily rates for Containers A, B, and C.</w:t>
      </w:r>
    </w:p>
    <w:p>
      <w:pPr>
        <w:pStyle w:val="ListParagraph"/>
        <w:keepLines/>
        <w:numPr>
          <w:ilvl w:val="0"/>
          <w:numId w:val="5"/>
        </w:numPr>
        <w:spacing w:after="100" w:line="276"/>
        <w:ind w:left="720" w:hanging="360"/>
      </w:pPr>
      <w:r>
        <w:rPr>
          <w:b/>
          <w:bCs/>
          <w:sz w:val="22"/>
          <w:szCs w:val="22"/>
        </w:rPr>
        <w:t xml:space="preserve">Session 4 — the next class period, about 45 minutes.</w:t>
      </w:r>
      <w:r>
        <w:rPr>
          <w:sz w:val="22"/>
          <w:szCs w:val="22"/>
        </w:rPr>
        <w:t xml:space="preserve"> Teams build two graphs from their finished data. Graph 1 plots water lost on the vertical axis against calendar days since Day 0 on the horizontal axis, found from the Date column. It has one line for each of the three containers, on the same axes. Graph 2 plots each container's average daily rate on the vertical axis against its surface area on the horizontal axis. Graph 2 has three points, one per container. Graph 2 tests the hypothesis most directly. Output: two completed, labeled graphs.</w:t>
      </w:r>
    </w:p>
    <w:p>
      <w:pPr>
        <w:pStyle w:val="ListParagraph"/>
        <w:keepNext/>
        <w:keepLines/>
        <w:numPr>
          <w:ilvl w:val="0"/>
          <w:numId w:val="5"/>
        </w:numPr>
        <w:spacing w:after="100" w:line="276"/>
        <w:ind w:left="720" w:hanging="360"/>
      </w:pPr>
      <w:r>
        <w:rPr>
          <w:b/>
          <w:bCs/>
          <w:sz w:val="22"/>
          <w:szCs w:val="22"/>
        </w:rPr>
        <w:t xml:space="preserve">Session 5 — the class period after that, about 50 minutes.</w:t>
      </w:r>
      <w:r>
        <w:rPr>
          <w:sz w:val="22"/>
          <w:szCs w:val="22"/>
        </w:rPr>
        <w:t xml:space="preserve"> Teams write a conclusion and build their presentation.</w:t>
      </w:r>
    </w:p>
    <w:p>
      <w:pPr>
        <w:keepNext/>
        <w:keepLines/>
        <w:spacing w:after="120" w:line="276"/>
        <w:ind w:left="720"/>
      </w:pPr>
      <w:r>
        <w:rPr>
          <w:b/>
          <w:bCs/>
          <w:sz w:val="22"/>
          <w:szCs w:val="22"/>
        </w:rPr>
        <w:t xml:space="preserve">Presentation guidance.</w:t>
      </w:r>
    </w:p>
    <w:p>
      <w:pPr>
        <w:pStyle w:val="ListParagraph"/>
        <w:keepLines/>
        <w:numPr>
          <w:ilvl w:val="0"/>
          <w:numId w:val="6"/>
        </w:numPr>
        <w:spacing w:after="60" w:line="276"/>
        <w:ind w:left="1440" w:hanging="360"/>
      </w:pPr>
      <w:r>
        <w:rPr>
          <w:sz w:val="22"/>
          <w:szCs w:val="22"/>
        </w:rPr>
        <w:t xml:space="preserve">Photograph the three containers side by side on Day 0 and again on Day 9. A visible difference in the remaining water is often the clearest evidence a viewer can see at a glance.</w:t>
      </w:r>
    </w:p>
    <w:p>
      <w:pPr>
        <w:pStyle w:val="ListParagraph"/>
        <w:keepLines/>
        <w:numPr>
          <w:ilvl w:val="0"/>
          <w:numId w:val="6"/>
        </w:numPr>
        <w:spacing w:after="60" w:line="276"/>
        <w:ind w:left="1440" w:hanging="360"/>
      </w:pPr>
      <w:r>
        <w:rPr>
          <w:sz w:val="22"/>
          <w:szCs w:val="22"/>
        </w:rPr>
        <w:t xml:space="preserve">Show the completed data log and both graphs from Session 4 on the poster or in the report.</w:t>
      </w:r>
    </w:p>
    <w:p>
      <w:pPr>
        <w:pStyle w:val="ListParagraph"/>
        <w:keepLines/>
        <w:numPr>
          <w:ilvl w:val="0"/>
          <w:numId w:val="6"/>
        </w:numPr>
        <w:spacing w:after="60" w:line="276"/>
        <w:ind w:left="1440" w:hanging="360"/>
      </w:pPr>
      <w:r>
        <w:rPr>
          <w:sz w:val="22"/>
          <w:szCs w:val="22"/>
        </w:rPr>
        <w:t xml:space="preserve">State the conclusion in three honest parts: what the hypothesis predicted, what the data showed, and whether the two match.</w:t>
      </w:r>
    </w:p>
    <w:p>
      <w:pPr>
        <w:pStyle w:val="ListParagraph"/>
        <w:keepLines/>
        <w:numPr>
          <w:ilvl w:val="0"/>
          <w:numId w:val="6"/>
        </w:numPr>
        <w:spacing w:after="60" w:line="276"/>
        <w:ind w:left="1440" w:hanging="360"/>
      </w:pPr>
      <w:r>
        <w:rPr>
          <w:sz w:val="22"/>
          <w:szCs w:val="22"/>
        </w:rPr>
        <w:t xml:space="preserve">If the data supports the hypothesis, explain how Graph 2 shows the pattern, container by container.</w:t>
      </w:r>
    </w:p>
    <w:p>
      <w:pPr>
        <w:pStyle w:val="ListParagraph"/>
        <w:keepLines/>
        <w:numPr>
          <w:ilvl w:val="0"/>
          <w:numId w:val="6"/>
        </w:numPr>
        <w:spacing w:after="60" w:line="276"/>
        <w:ind w:left="1440" w:hanging="360"/>
      </w:pPr>
      <w:r>
        <w:rPr>
          <w:sz w:val="22"/>
          <w:szCs w:val="22"/>
        </w:rPr>
        <w:t xml:space="preserve">If the data does not support the hypothesis, say so directly. For example, the rates might come out nearly equal, or a smaller opening might show the fastest rate. Give one specific, real reason this can happen: a draft that reached one container and not the others, a reading taken at a different time on one day, or ten days simply being too short for the true difference to show. A result that does not match the hypothesis is still a real finding and belongs in the report.</w:t>
      </w:r>
    </w:p>
    <w:p>
      <w:pPr>
        <w:pStyle w:val="ListParagraph"/>
        <w:keepLines/>
        <w:numPr>
          <w:ilvl w:val="0"/>
          <w:numId w:val="6"/>
        </w:numPr>
        <w:spacing w:after="60" w:line="276"/>
        <w:ind w:left="1440" w:hanging="360"/>
      </w:pPr>
      <w:r>
        <w:rPr>
          <w:sz w:val="22"/>
          <w:szCs w:val="22"/>
        </w:rPr>
        <w:t xml:space="preserve">Close with one or two sentences that connect the result back to the reservoirs and storage tanks described in the Overview.</w:t>
      </w:r>
    </w:p>
    <w:p>
      <w:pPr>
        <w:spacing w:after="40" w:before="0" w:line="120" w:lineRule="exact"/>
      </w:pPr>
    </w:p>
    <w:p>
      <w:pPr>
        <w:keepNext/>
        <w:keepLines/>
        <w:spacing w:after="120" w:line="276"/>
        <w:ind w:left="720"/>
      </w:pPr>
      <w:r>
        <w:rPr>
          <w:sz w:val="22"/>
          <w:szCs w:val="22"/>
        </w:rPr>
        <w:t xml:space="preserve">Output: a completed presentation, with the data log, both graphs, and a written conclusion, ready to share with the class.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Surface Area and Evaporation: A Science Fair Investigation</w:t>
      </w:r>
    </w:p>
    <w:p>
      <w:pPr>
        <w:keepNext/>
        <w:spacing w:after="160"/>
      </w:pPr>
      <w:r>
        <w:rPr>
          <w:color w:val="5B6B70"/>
          <w:sz w:val="20"/>
          <w:szCs w:val="20"/>
        </w:rPr>
        <w:t xml:space="preserve">Project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06"/>
        <w:gridCol w:w="3185"/>
        <w:gridCol w:w="3185"/>
        <w:gridCol w:w="319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Fair testing &amp; data collection</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Data log is missing several days or mixes measurement methods partway through</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Data log is mostly complete but shows an uncontrolled change, such as a moved container or inconsistent timing</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Data log is complete for all ten days, using one consistent method in one consistent location</w:t>
            </w:r>
          </w:p>
        </w:tc>
        <w:tc>
          <w:tcPr>
            <w:tcW w:type="dxa" w:w="3196"/>
            <w:tcMar>
              <w:top w:type="dxa" w:w="70"/>
              <w:left w:type="dxa" w:w="100"/>
              <w:bottom w:type="dxa" w:w="70"/>
              <w:right w:type="dxa" w:w="100"/>
            </w:tcMar>
            <w:vAlign w:val="top"/>
          </w:tcPr>
          <w:p>
            <w:pPr>
              <w:keepNext/>
              <w:spacing w:after="0" w:line="252"/>
              <w:jc w:val="left"/>
            </w:pPr>
            <w:r>
              <w:rPr>
                <w:sz w:val="20"/>
                <w:szCs w:val="20"/>
              </w:rPr>
              <w:t xml:space="preserve">Data log is complete and consistent, and the notes column catches and explains at least one unusual reading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Math &amp; analysis</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Surface-area and rate calculations are missing or clearly incorrect</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Calculations are attempted but contain errors that change the comparison between containers</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Surface-area estimates and daily-rate calculations are correct for all three containers</w:t>
            </w:r>
          </w:p>
        </w:tc>
        <w:tc>
          <w:tcPr>
            <w:tcW w:type="dxa" w:w="3196"/>
            <w:tcMar>
              <w:top w:type="dxa" w:w="70"/>
              <w:left w:type="dxa" w:w="100"/>
              <w:bottom w:type="dxa" w:w="70"/>
              <w:right w:type="dxa" w:w="100"/>
            </w:tcMar>
            <w:vAlign w:val="top"/>
          </w:tcPr>
          <w:p>
            <w:pPr>
              <w:keepNext/>
              <w:spacing w:after="0" w:line="252"/>
              <w:jc w:val="left"/>
            </w:pPr>
            <w:r>
              <w:rPr>
                <w:sz w:val="20"/>
                <w:szCs w:val="20"/>
              </w:rPr>
              <w:t xml:space="preserve">Calculations are correct, and the team also checks its grid-paper estimate against a second method or unit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Graphs</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One or both required graphs are missing</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Both graphs are present but missing an axis label, a title, or a clear scale</w:t>
            </w:r>
          </w:p>
        </w:tc>
        <w:tc>
          <w:tcPr>
            <w:tcW w:type="dxa" w:w="3185"/>
            <w:tcMar>
              <w:top w:type="dxa" w:w="70"/>
              <w:left w:type="dxa" w:w="100"/>
              <w:bottom w:type="dxa" w:w="70"/>
              <w:right w:type="dxa" w:w="100"/>
            </w:tcMar>
            <w:vAlign w:val="top"/>
          </w:tcPr>
          <w:p>
            <w:pPr>
              <w:keepNext/>
              <w:spacing w:after="0" w:line="252"/>
              <w:jc w:val="left"/>
            </w:pPr>
            <w:r>
              <w:rPr>
                <w:sz w:val="20"/>
                <w:szCs w:val="20"/>
              </w:rPr>
              <w:t xml:space="preserve">Both graphs are complete, correctly labeled, and accurately plot the team's own data</w:t>
            </w:r>
          </w:p>
        </w:tc>
        <w:tc>
          <w:tcPr>
            <w:tcW w:type="dxa" w:w="3196"/>
            <w:tcMar>
              <w:top w:type="dxa" w:w="70"/>
              <w:left w:type="dxa" w:w="100"/>
              <w:bottom w:type="dxa" w:w="70"/>
              <w:right w:type="dxa" w:w="100"/>
            </w:tcMar>
            <w:vAlign w:val="top"/>
          </w:tcPr>
          <w:p>
            <w:pPr>
              <w:keepNext/>
              <w:spacing w:after="0" w:line="252"/>
              <w:jc w:val="left"/>
            </w:pPr>
            <w:r>
              <w:rPr>
                <w:sz w:val="20"/>
                <w:szCs w:val="20"/>
              </w:rPr>
              <w:t xml:space="preserve">Both graphs are complete, and the team adds a brief written note interpreting what Graph 2's pattern shows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Conclusion &amp; presentation</w:t>
            </w:r>
          </w:p>
        </w:tc>
        <w:tc>
          <w:tcPr>
            <w:tcW w:type="dxa" w:w="2606"/>
            <w:tcMar>
              <w:top w:type="dxa" w:w="70"/>
              <w:left w:type="dxa" w:w="100"/>
              <w:bottom w:type="dxa" w:w="70"/>
              <w:right w:type="dxa" w:w="100"/>
            </w:tcMar>
            <w:vAlign w:val="top"/>
          </w:tcPr>
          <w:p>
            <w:pPr>
              <w:spacing w:after="0" w:line="252"/>
              <w:jc w:val="left"/>
            </w:pPr>
            <w:r>
              <w:rPr>
                <w:sz w:val="20"/>
                <w:szCs w:val="20"/>
              </w:rPr>
              <w:t xml:space="preserve">Conclusion does not refer back to the hypothesis or the data</w:t>
            </w:r>
          </w:p>
        </w:tc>
        <w:tc>
          <w:tcPr>
            <w:tcW w:type="dxa" w:w="3185"/>
            <w:tcMar>
              <w:top w:type="dxa" w:w="70"/>
              <w:left w:type="dxa" w:w="100"/>
              <w:bottom w:type="dxa" w:w="70"/>
              <w:right w:type="dxa" w:w="100"/>
            </w:tcMar>
            <w:vAlign w:val="top"/>
          </w:tcPr>
          <w:p>
            <w:pPr>
              <w:spacing w:after="0" w:line="252"/>
              <w:jc w:val="left"/>
            </w:pPr>
            <w:r>
              <w:rPr>
                <w:sz w:val="20"/>
                <w:szCs w:val="20"/>
              </w:rPr>
              <w:t xml:space="preserve">Conclusion restates the hypothesis but does not clearly compare it to the data collected</w:t>
            </w:r>
          </w:p>
        </w:tc>
        <w:tc>
          <w:tcPr>
            <w:tcW w:type="dxa" w:w="3185"/>
            <w:tcMar>
              <w:top w:type="dxa" w:w="70"/>
              <w:left w:type="dxa" w:w="100"/>
              <w:bottom w:type="dxa" w:w="70"/>
              <w:right w:type="dxa" w:w="100"/>
            </w:tcMar>
            <w:vAlign w:val="top"/>
          </w:tcPr>
          <w:p>
            <w:pPr>
              <w:spacing w:after="0" w:line="252"/>
              <w:jc w:val="left"/>
            </w:pPr>
            <w:r>
              <w:rPr>
                <w:sz w:val="20"/>
                <w:szCs w:val="20"/>
              </w:rPr>
              <w:t xml:space="preserve">Conclusion clearly states whether the data supports the hypothesis and explains why, using the team's own numbers</w:t>
            </w:r>
          </w:p>
        </w:tc>
        <w:tc>
          <w:tcPr>
            <w:tcW w:type="dxa" w:w="3196"/>
            <w:tcMar>
              <w:top w:type="dxa" w:w="70"/>
              <w:left w:type="dxa" w:w="100"/>
              <w:bottom w:type="dxa" w:w="70"/>
              <w:right w:type="dxa" w:w="100"/>
            </w:tcMar>
            <w:vAlign w:val="top"/>
          </w:tcPr>
          <w:p>
            <w:pPr>
              <w:spacing w:after="0" w:line="252"/>
              <w:jc w:val="left"/>
            </w:pPr>
            <w:r>
              <w:rPr>
                <w:sz w:val="20"/>
                <w:szCs w:val="20"/>
              </w:rPr>
              <w:t xml:space="preserve">Conclusion does the above, and when results are mixed or do not support the hypothesis, offers one specific, plausible explanation grounded in how the investigation was run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Surface Area and Evaporation: A Science Fair Investigation</dc:title>
  <dc:subject>Project · Grade 6 · Science</dc:subject>
  <dc:creator>Water for Schools</dc:creator>
  <cp:keywords>Project, Grade 6, Science</cp:keywords>
  <dc:description>A five-session, two-week grade 6 science fair project testing whether container opening size changes evaporation rate, with data logging and graphing.</dc:description>
  <cp:lastModifiedBy>Water for Schools</cp:lastModifiedBy>
  <cp:revision>1</cp:revision>
  <dcterms:created xsi:type="dcterms:W3CDTF">2026-10-19T16:29:22.172Z</dcterms:created>
  <dcterms:modified xsi:type="dcterms:W3CDTF">2026-10-19T16:29:22.172Z</dcterms:modified>
</cp:coreProperties>
</file>

<file path=docProps/custom.xml><?xml version="1.0" encoding="utf-8"?>
<Properties xmlns="http://schemas.openxmlformats.org/officeDocument/2006/custom-properties" xmlns:vt="http://schemas.openxmlformats.org/officeDocument/2006/docPropsVTypes"/>
</file>