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Mandatory Nutrient-Management Plans for Farms: A Grade 10 Debate Kit</w:t>
      </w:r>
    </w:p>
    <w:p>
      <w:pPr>
        <w:keepNext/>
        <w:spacing w:after="160"/>
      </w:pPr>
      <w:r>
        <w:rPr>
          <w:color w:val="5B6B70"/>
          <w:sz w:val="20"/>
          <w:szCs w:val="20"/>
        </w:rPr>
        <w:t xml:space="preserve">Debate kit · Grade 10 · Social Studies &amp; Civics</w:t>
      </w:r>
    </w:p>
    <w:p>
      <w:pPr>
        <w:spacing w:after="100" w:line="264"/>
      </w:pPr>
      <w:r>
        <w:rPr>
          <w:i/>
          <w:iCs/>
          <w:color w:val="12333F"/>
          <w:sz w:val="22"/>
          <w:szCs w:val="22"/>
        </w:rPr>
        <w:t xml:space="preserve">A grade 10 debate kit on whether a state should require farms in a fictional watershed to adopt mandatory nutrient-management plans, with two-sided policy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Evaluate evidence on both sides of a water-policy resolution involving agricultural nutrient runoff.</w:t>
      </w:r>
    </w:p>
    <w:p>
      <w:pPr>
        <w:pStyle w:val="ListParagraph"/>
        <w:keepNext/>
        <w:keepLines/>
        <w:numPr>
          <w:ilvl w:val="0"/>
          <w:numId w:val="2"/>
        </w:numPr>
        <w:spacing w:after="60" w:line="264"/>
        <w:ind w:left="720" w:hanging="360"/>
      </w:pPr>
      <w:r>
        <w:rPr>
          <w:sz w:val="22"/>
          <w:szCs w:val="22"/>
        </w:rPr>
        <w:t xml:space="preserve">Explain how nutrient runoff can lower dissolved oxygen and harm aquatic life downstream.</w:t>
      </w:r>
    </w:p>
    <w:p>
      <w:pPr>
        <w:pStyle w:val="ListParagraph"/>
        <w:keepLines/>
        <w:numPr>
          <w:ilvl w:val="0"/>
          <w:numId w:val="2"/>
        </w:numPr>
        <w:spacing w:after="60" w:line="264"/>
        <w:ind w:left="720" w:hanging="360"/>
      </w:pPr>
      <w:r>
        <w:rPr>
          <w:sz w:val="22"/>
          <w:szCs w:val="22"/>
        </w:rPr>
        <w:t xml:space="preserve">Construct and deliver a rebuttal supported by named evidence from the Evidence File.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Resolution &amp; Background section frames mandatory nutrient-management plans as a policy with both intended outcomes, cleaner downstream water, and unintended costs for farmers, requiring students to evaluate exactly the tradeoffs this indicator names.</w:t>
      </w:r>
    </w:p>
    <w:p>
      <w:pPr>
        <w:keepNext/>
        <w:spacing w:after="40" w:line="264"/>
      </w:pPr>
      <w:r>
        <w:rPr>
          <w:b/>
          <w:bCs/>
          <w:sz w:val="22"/>
          <w:szCs w:val="22"/>
        </w:rPr>
        <w:t xml:space="preserve">WHST.9-10.1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draft rebuttal notes and opening arguments using the named, discipline-specific evidence in the Evidence File, writing arguments about a science and policy resolution exactly as this standard requires.</w:t>
      </w:r>
    </w:p>
    <w:p>
      <w:pPr>
        <w:pStyle w:val="Heading2"/>
        <w:keepNext/>
        <w:keepLines/>
      </w:pPr>
      <w:r>
        <w:rPr>
          <w:sz w:val="28"/>
          <w:szCs w:val="28"/>
        </w:rPr>
        <w:t xml:space="preserve">Vocabulary</w:t>
      </w:r>
    </w:p>
    <w:p>
      <w:pPr>
        <w:keepNext/>
        <w:spacing w:after="80" w:line="264"/>
      </w:pPr>
      <w:r>
        <w:rPr>
          <w:b/>
          <w:bCs/>
          <w:sz w:val="22"/>
          <w:szCs w:val="22"/>
        </w:rPr>
        <w:t xml:space="preserve">Nonpoint source pollution</w:t>
      </w:r>
      <w:r>
        <w:rPr>
          <w:sz w:val="22"/>
          <w:szCs w:val="22"/>
        </w:rPr>
        <w:t xml:space="preserve">: Nonpoint source pollution is pollution that washes off the land a little at a time from many places, like lawns, streets, and farms, instead of coming out of one pipe. It is the hardest kind of water pollution to control.</w:t>
      </w:r>
    </w:p>
    <w:p>
      <w:pPr>
        <w:keepNext/>
        <w:spacing w:after="80" w:line="264"/>
      </w:pPr>
      <w:r>
        <w:rPr>
          <w:b/>
          <w:bCs/>
          <w:sz w:val="22"/>
          <w:szCs w:val="22"/>
        </w:rPr>
        <w:t xml:space="preserve">Total maximum daily load (TMDL)</w:t>
      </w:r>
      <w:r>
        <w:rPr>
          <w:sz w:val="22"/>
          <w:szCs w:val="22"/>
        </w:rPr>
        <w:t xml:space="preserve">: A total maximum daily load, or TMDL, is a limit on how much pollution a river, lake, or bay can receive each day and still stay healthy. Regulators set a TMDL for a water body that is too polluted, then divide that limit among all the sources adding pollution to it.</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spacing w:after="80" w:line="264"/>
      </w:pPr>
      <w:r>
        <w:rPr>
          <w:b/>
          <w:bCs/>
          <w:sz w:val="22"/>
          <w:szCs w:val="22"/>
        </w:rPr>
        <w:t xml:space="preserve">Algal bloom</w:t>
      </w:r>
      <w:r>
        <w:rPr>
          <w:sz w:val="22"/>
          <w:szCs w:val="22"/>
        </w:rPr>
        <w:t xml:space="preserve">: An algal bloom is a fast, thick growth of algae that can turn a lake green and scummy. Blooms happen when the water gets lots of nutrients and warm sunshine, and some blooms make toxins.</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55 to 60 minute block, with prep time extending into a second, shorter session if needed. Students argue for or against a state requiring farms in a fictional watershed to adopt mandatory nutrient-management plans that limit fertilizer runoff, a resolution with genuine tension between protecting downstream water quality and controlling the cost of farming.</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simplified evidence card for each side listing only its single strongest point, and give sentence starters for rebuttals ("Our opponents claim that nutrient-management plans would ___, but the evidence shows ___."). Allow students to read prepared notes rather than speak extemporaneously.</w:t>
      </w:r>
    </w:p>
    <w:p>
      <w:pPr>
        <w:pStyle w:val="Heading3"/>
        <w:keepNext/>
        <w:keepLines/>
      </w:pPr>
      <w:r>
        <w:rPr>
          <w:sz w:val="24"/>
          <w:szCs w:val="24"/>
        </w:rPr>
        <w:t xml:space="preserve">Extension (above grade level)</w:t>
      </w:r>
    </w:p>
    <w:p>
      <w:pPr>
        <w:spacing w:after="100" w:line="264"/>
      </w:pPr>
      <w:r>
        <w:rPr>
          <w:sz w:val="22"/>
          <w:szCs w:val="22"/>
        </w:rPr>
        <w:t xml:space="preserve">Ask students to outline, drawing on the Evidence File rather than outside sources, what a cost-share program (where the state helps pay part of a farm's compliance cost) might look like, and to incorporate that idea into a stronger rebuttal or a compromise proposal.</w:t>
      </w:r>
    </w:p>
    <w:p>
      <w:pPr>
        <w:pStyle w:val="Heading3"/>
        <w:keepNext/>
        <w:keepLines/>
      </w:pPr>
      <w:r>
        <w:rPr>
          <w:sz w:val="24"/>
          <w:szCs w:val="24"/>
        </w:rPr>
        <w:t xml:space="preserve">ELL supports</w:t>
      </w:r>
    </w:p>
    <w:p>
      <w:pPr>
        <w:spacing w:after="100" w:line="264"/>
      </w:pPr>
      <w:r>
        <w:rPr>
          <w:sz w:val="22"/>
          <w:szCs w:val="22"/>
        </w:rPr>
        <w:t xml:space="preserve">Pre-teach "nonpoint-source pollution," "nutrient," "runoff," and "algal bloom" with simple definitions and a labeled diagram showing fertilizer moving from a field into a stream. Allow students to deliver arguments from written notes and to answer discussion questions with short phrases before attempting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Mandatory Nutrient-Management Plans for Farms</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"This state should require farms in the Willow Fork watershed to adopt mandatory nutrient-management plans, even though compliance will raise costs for farmers."</w:t>
      </w:r>
    </w:p>
    <w:p>
      <w:pPr>
        <w:spacing w:after="120" w:line="276"/>
      </w:pPr>
      <w:r>
        <w:rPr>
          <w:b/>
          <w:bCs/>
          <w:sz w:val="22"/>
          <w:szCs w:val="22"/>
        </w:rPr>
        <w:t xml:space="preserve">Background:</w:t>
      </w:r>
      <w:r>
        <w:rPr>
          <w:sz w:val="22"/>
          <w:szCs w:val="22"/>
        </w:rPr>
        <w:t xml:space="preserve"> The Willow Fork watershed is a fictional agricultural region invented for this debate. Fertilizer applied to farm fields supplies nitrogen and phosphorus that crops need to grow. Rain and irrigation water can carry unused fertilizer off the field and into nearby streams, adding nutrients beyond what the stream would naturally carry. Downstream, those nutrients can fuel algal blooms. When the algae die, decomposition consumes dissolved oxygen from the water. Most fish need dissolved oxygen above 5 mg/L to survive, so a large enough nutrient load can leave a stream too oxygen-poor to support them. Under the federal Clean Water Act, wastewater treatment plants and other point sources must meet numeric discharge limits. Runoff from farm fields, by contrast, is treated as nonpoint-source pollution and sits largely outside direct federal permitting. That gap is part of why states debate whether to regulate farm runoff themselves.</w:t>
      </w:r>
    </w:p>
    <w:p>
      <w:pPr>
        <w:pStyle w:val="Heading2"/>
        <w:keepNext/>
        <w:keepLines/>
      </w:pPr>
      <w:r>
        <w:rPr>
          <w:sz w:val="28"/>
          <w:szCs w:val="28"/>
        </w:rPr>
        <w:t xml:space="preserve">Evidence File</w:t>
      </w:r>
    </w:p>
    <w:p>
      <w:pPr>
        <w:keepNext/>
        <w:keepLines/>
        <w:spacing w:after="120" w:line="276"/>
      </w:pPr>
      <w:r>
        <w:rPr>
          <w:b/>
          <w:bCs/>
          <w:sz w:val="22"/>
          <w:szCs w:val="22"/>
        </w:rPr>
        <w:t xml:space="preserve">Case for mandatory nutrient-management plans:</w:t>
      </w:r>
    </w:p>
    <w:p>
      <w:pPr>
        <w:pStyle w:val="ListParagraph"/>
        <w:keepLines/>
        <w:numPr>
          <w:ilvl w:val="0"/>
          <w:numId w:val="3"/>
        </w:numPr>
        <w:spacing w:after="60" w:line="276"/>
        <w:ind w:left="720" w:hanging="360"/>
      </w:pPr>
      <w:r>
        <w:rPr>
          <w:sz w:val="22"/>
          <w:szCs w:val="22"/>
        </w:rPr>
        <w:t xml:space="preserve">Nutrient runoff is a leading driver of downstream algal blooms. The oxygen loss that follows a bloom's decomposition can push dissolved oxygen below the 5 mg/L level most fish need to survive. (Source: EPA and USGS water-quality benchmark for dissolved oxygen.)</w:t>
      </w:r>
    </w:p>
    <w:p>
      <w:pPr>
        <w:pStyle w:val="ListParagraph"/>
        <w:keepLines/>
        <w:numPr>
          <w:ilvl w:val="0"/>
          <w:numId w:val="3"/>
        </w:numPr>
        <w:spacing w:after="60" w:line="276"/>
        <w:ind w:left="720" w:hanging="360"/>
      </w:pPr>
      <w:r>
        <w:rPr>
          <w:sz w:val="22"/>
          <w:szCs w:val="22"/>
        </w:rPr>
        <w:t xml:space="preserve">Agricultural runoff is treated as nonpoint-source pollution and falls largely outside the Clean Water Act's direct permitting system. As a result, farms face far less regulatory oversight than a wastewater treatment plant discharging into the same stream. A mandatory state program would help close that gap. (General description of the Clean Water Act's point-source and nonpoint-source distinction.)</w:t>
      </w:r>
    </w:p>
    <w:p>
      <w:pPr>
        <w:pStyle w:val="ListParagraph"/>
        <w:keepLines/>
        <w:numPr>
          <w:ilvl w:val="0"/>
          <w:numId w:val="3"/>
        </w:numPr>
        <w:spacing w:after="60" w:line="276"/>
        <w:ind w:left="720" w:hanging="360"/>
      </w:pPr>
      <w:r>
        <w:rPr>
          <w:sz w:val="22"/>
          <w:szCs w:val="22"/>
        </w:rPr>
        <w:t xml:space="preserve">A fictional watershed advocacy group created for this debate, the Willow Fork Clean Water Alliance, testifies to a real problem. Downstream communities and anglers bear the cost of upstream pollution they did not create. The group argues that nutrient-management plans would shift some of that cost back onto the farms generating the runoff. (Illustrative testimony created for this debate, not a documented source.)</w:t>
      </w:r>
    </w:p>
    <w:p>
      <w:pPr>
        <w:spacing w:after="40" w:before="0" w:line="120" w:lineRule="exact"/>
      </w:pPr>
    </w:p>
    <w:p>
      <w:pPr>
        <w:keepNext/>
        <w:keepLines/>
        <w:spacing w:after="120" w:line="276"/>
      </w:pPr>
      <w:r>
        <w:rPr>
          <w:b/>
          <w:bCs/>
          <w:sz w:val="22"/>
          <w:szCs w:val="22"/>
        </w:rPr>
        <w:t xml:space="preserve">Case against mandatory nutrient-management plans:</w:t>
      </w:r>
    </w:p>
    <w:p>
      <w:pPr>
        <w:pStyle w:val="ListParagraph"/>
        <w:keepLines/>
        <w:numPr>
          <w:ilvl w:val="0"/>
          <w:numId w:val="4"/>
        </w:numPr>
        <w:spacing w:after="60" w:line="276"/>
        <w:ind w:left="720" w:hanging="360"/>
      </w:pPr>
      <w:r>
        <w:rPr>
          <w:sz w:val="22"/>
          <w:szCs w:val="22"/>
        </w:rPr>
        <w:t xml:space="preserve">Many farms operate on thin margins. New mandatory compliance costs, record-keeping, and potential penalties could push some smaller family farms out of business. (Argument offered for this debate; not a documented source.)</w:t>
      </w:r>
    </w:p>
    <w:p>
      <w:pPr>
        <w:pStyle w:val="ListParagraph"/>
        <w:keepLines/>
        <w:numPr>
          <w:ilvl w:val="0"/>
          <w:numId w:val="4"/>
        </w:numPr>
        <w:spacing w:after="60" w:line="276"/>
        <w:ind w:left="720" w:hanging="360"/>
      </w:pPr>
      <w:r>
        <w:rPr>
          <w:sz w:val="22"/>
          <w:szCs w:val="22"/>
        </w:rPr>
        <w:t xml:space="preserve">A fictional farm-bureau representative created for this debate speaks for the Willow Fork Grain Growers Cooperative. This representative testifies that voluntary programs already in use are improving nutrient management. These include cover crops, vegetated buffer strips, and precision fertilizer application, and they avoid the cost and paperwork of a mandatory state program. (Illustrative testimony created for this debate.)</w:t>
      </w:r>
    </w:p>
    <w:p>
      <w:pPr>
        <w:pStyle w:val="ListParagraph"/>
        <w:keepLines/>
        <w:numPr>
          <w:ilvl w:val="0"/>
          <w:numId w:val="4"/>
        </w:numPr>
        <w:spacing w:after="60" w:line="276"/>
        <w:ind w:left="720" w:hanging="360"/>
      </w:pPr>
      <w:r>
        <w:rPr>
          <w:sz w:val="22"/>
          <w:szCs w:val="22"/>
        </w:rPr>
        <w:t xml:space="preserve">Nutrient runoff varies enormously with weather, soil type, and crop. A single uniform mandate risks imposing identical costs on every farm in the watershed. This is true regardless of how much any one farm contributes to a specific downstream problem. Locally tailored, voluntary approaches can better target the real sources instead.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Mandatory Nutrient-Management Plans for Farms: A Grade 10 Debate Kit</w:t>
      </w:r>
    </w:p>
    <w:p>
      <w:pPr>
        <w:keepNext/>
        <w:spacing w:after="160"/>
      </w:pPr>
      <w:r>
        <w:rPr>
          <w:color w:val="5B6B70"/>
          <w:sz w:val="20"/>
          <w:szCs w:val="20"/>
        </w:rPr>
        <w:t xml:space="preserve">Debate kit · Grade 10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82"/>
        <w:gridCol w:w="3028"/>
        <w:gridCol w:w="3393"/>
        <w:gridCol w:w="3369"/>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8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382"/>
            <w:tcMar>
              <w:top w:type="dxa" w:w="70"/>
              <w:left w:type="dxa" w:w="100"/>
              <w:bottom w:type="dxa" w:w="70"/>
              <w:right w:type="dxa" w:w="100"/>
            </w:tcMar>
            <w:vAlign w:val="top"/>
          </w:tcPr>
          <w:p>
            <w:pPr>
              <w:keepNext/>
              <w:spacing w:after="0" w:line="252"/>
              <w:jc w:val="left"/>
            </w:pPr>
            <w:r>
              <w:rPr>
                <w:sz w:val="20"/>
                <w:szCs w:val="20"/>
              </w:rPr>
              <w:t xml:space="preserve">Repeats a claim with no cited evidence from the Evidence File</w:t>
            </w:r>
          </w:p>
        </w:tc>
        <w:tc>
          <w:tcPr>
            <w:tcW w:type="dxa" w:w="3028"/>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how it supports the team's position</w:t>
            </w:r>
          </w:p>
        </w:tc>
        <w:tc>
          <w:tcPr>
            <w:tcW w:type="dxa" w:w="3393"/>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3369"/>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anticipates the opposing side's likely response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382"/>
            <w:tcMar>
              <w:top w:type="dxa" w:w="70"/>
              <w:left w:type="dxa" w:w="100"/>
              <w:bottom w:type="dxa" w:w="70"/>
              <w:right w:type="dxa" w:w="100"/>
            </w:tcMar>
            <w:vAlign w:val="top"/>
          </w:tcPr>
          <w:p>
            <w:pPr>
              <w:keepNext/>
              <w:spacing w:after="0" w:line="252"/>
              <w:jc w:val="left"/>
            </w:pPr>
            <w:r>
              <w:rPr>
                <w:sz w:val="20"/>
                <w:szCs w:val="20"/>
              </w:rPr>
              <w:t xml:space="preserve">Does not respond to the opposing team's points</w:t>
            </w:r>
          </w:p>
        </w:tc>
        <w:tc>
          <w:tcPr>
            <w:tcW w:type="dxa" w:w="3028"/>
            <w:tcMar>
              <w:top w:type="dxa" w:w="70"/>
              <w:left w:type="dxa" w:w="100"/>
              <w:bottom w:type="dxa" w:w="70"/>
              <w:right w:type="dxa" w:w="100"/>
            </w:tcMar>
            <w:vAlign w:val="top"/>
          </w:tcPr>
          <w:p>
            <w:pPr>
              <w:keepNext/>
              <w:spacing w:after="0" w:line="252"/>
              <w:jc w:val="left"/>
            </w:pPr>
            <w:r>
              <w:rPr>
                <w:sz w:val="20"/>
                <w:szCs w:val="20"/>
              </w:rPr>
              <w:t xml:space="preserve">Responds to an opposing point but without new evidence</w:t>
            </w:r>
          </w:p>
        </w:tc>
        <w:tc>
          <w:tcPr>
            <w:tcW w:type="dxa" w:w="3393"/>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369"/>
            <w:tcMar>
              <w:top w:type="dxa" w:w="70"/>
              <w:left w:type="dxa" w:w="100"/>
              <w:bottom w:type="dxa" w:w="70"/>
              <w:right w:type="dxa" w:w="100"/>
            </w:tcMar>
            <w:vAlign w:val="top"/>
          </w:tcPr>
          <w:p>
            <w:pPr>
              <w:keepNext/>
              <w:spacing w:after="0" w:line="252"/>
              <w:jc w:val="left"/>
            </w:pPr>
            <w:r>
              <w:rPr>
                <w:sz w:val="20"/>
                <w:szCs w:val="20"/>
              </w:rPr>
              <w:t xml:space="preserve">Rebuts multiple opposing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382"/>
            <w:tcMar>
              <w:top w:type="dxa" w:w="70"/>
              <w:left w:type="dxa" w:w="100"/>
              <w:bottom w:type="dxa" w:w="70"/>
              <w:right w:type="dxa" w:w="100"/>
            </w:tcMar>
            <w:vAlign w:val="top"/>
          </w:tcPr>
          <w:p>
            <w:pPr>
              <w:spacing w:after="0" w:line="252"/>
              <w:jc w:val="left"/>
            </w:pPr>
            <w:r>
              <w:rPr>
                <w:sz w:val="20"/>
                <w:szCs w:val="20"/>
              </w:rPr>
              <w:t xml:space="preserve">Argument is difficult to follow, with no clear structure</w:t>
            </w:r>
          </w:p>
        </w:tc>
        <w:tc>
          <w:tcPr>
            <w:tcW w:type="dxa" w:w="3028"/>
            <w:tcMar>
              <w:top w:type="dxa" w:w="70"/>
              <w:left w:type="dxa" w:w="100"/>
              <w:bottom w:type="dxa" w:w="70"/>
              <w:right w:type="dxa" w:w="100"/>
            </w:tcMar>
            <w:vAlign w:val="top"/>
          </w:tcPr>
          <w:p>
            <w:pPr>
              <w:spacing w:after="0" w:line="252"/>
              <w:jc w:val="left"/>
            </w:pPr>
            <w:r>
              <w:rPr>
                <w:sz w:val="20"/>
                <w:szCs w:val="20"/>
              </w:rPr>
              <w:t xml:space="preserve">Argument has a structure, but transitions between points are unclear</w:t>
            </w:r>
          </w:p>
        </w:tc>
        <w:tc>
          <w:tcPr>
            <w:tcW w:type="dxa" w:w="3393"/>
            <w:tcMar>
              <w:top w:type="dxa" w:w="70"/>
              <w:left w:type="dxa" w:w="100"/>
              <w:bottom w:type="dxa" w:w="70"/>
              <w:right w:type="dxa" w:w="100"/>
            </w:tcMar>
            <w:vAlign w:val="top"/>
          </w:tcPr>
          <w:p>
            <w:pPr>
              <w:spacing w:after="0" w:line="252"/>
              <w:jc w:val="left"/>
            </w:pPr>
            <w:r>
              <w:rPr>
                <w:sz w:val="20"/>
                <w:szCs w:val="20"/>
              </w:rPr>
              <w:t xml:space="preserve">Argument follows a clear claim-evidence-conclusion structure</w:t>
            </w:r>
          </w:p>
        </w:tc>
        <w:tc>
          <w:tcPr>
            <w:tcW w:type="dxa" w:w="3369"/>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responsive to the resolution throughout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Mandatory Nutrient-Management Plans for Farms: A Grade 10 Debate Kit</dc:title>
  <dc:subject>Debate kit · Grade 10 · Social Studies &amp; Civics</dc:subject>
  <dc:creator>Water for Schools</dc:creator>
  <cp:keywords>Debate kit, Grade 10, Social Studies &amp; Civics</cp:keywords>
  <dc:description>A grade 10 debate kit on whether a state should require farms in a fictional watershed to adopt mandatory nutrient-management plans, with two-sided policy evidence.</dc:description>
  <cp:lastModifiedBy>Water for Schools</cp:lastModifiedBy>
  <cp:revision>1</cp:revision>
  <dcterms:created xsi:type="dcterms:W3CDTF">2026-10-19T16:29:25.444Z</dcterms:created>
  <dcterms:modified xsi:type="dcterms:W3CDTF">2026-10-19T16:29:25.444Z</dcterms:modified>
</cp:coreProperties>
</file>

<file path=docProps/custom.xml><?xml version="1.0" encoding="utf-8"?>
<Properties xmlns="http://schemas.openxmlformats.org/officeDocument/2006/custom-properties" xmlns:vt="http://schemas.openxmlformats.org/officeDocument/2006/docPropsVTypes"/>
</file>