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Redmayne's Plant Expansion and the Sable Row Siting Review</w:t>
      </w:r>
    </w:p>
    <w:p>
      <w:pPr>
        <w:keepNext/>
        <w:spacing w:after="160"/>
      </w:pPr>
      <w:r>
        <w:rPr>
          <w:color w:val="5B6B70"/>
          <w:sz w:val="20"/>
          <w:szCs w:val="20"/>
        </w:rPr>
        <w:t xml:space="preserve">Lesson plan · Grade 10 · Social Studies &amp; Civics</w:t>
      </w:r>
    </w:p>
    <w:p>
      <w:pPr>
        <w:spacing w:after="100" w:line="264"/>
      </w:pPr>
      <w:r>
        <w:rPr>
          <w:i/>
          <w:iCs/>
          <w:color w:val="12333F"/>
          <w:sz w:val="22"/>
          <w:szCs w:val="22"/>
        </w:rPr>
        <w:t xml:space="preserve">A grade 10 lesson in which students weigh three sites for a fictional city's wastewater plant expansion against a neighborhood's cumulative-burden objection.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copies of the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three candidate plant sites against the criteria a utility uses to rank them.</w:t>
      </w:r>
    </w:p>
    <w:p>
      <w:pPr>
        <w:pStyle w:val="ListParagraph"/>
        <w:keepNext/>
        <w:keepLines/>
        <w:numPr>
          <w:ilvl w:val="0"/>
          <w:numId w:val="2"/>
        </w:numPr>
        <w:spacing w:after="60" w:line="264"/>
        <w:ind w:left="720" w:hanging="360"/>
      </w:pPr>
      <w:r>
        <w:rPr>
          <w:sz w:val="22"/>
          <w:szCs w:val="22"/>
        </w:rPr>
        <w:t xml:space="preserve">Students will explain what cumulative burden means and how it differs from a single-facility impact.</w:t>
      </w:r>
    </w:p>
    <w:p>
      <w:pPr>
        <w:pStyle w:val="ListParagraph"/>
        <w:keepLines/>
        <w:numPr>
          <w:ilvl w:val="0"/>
          <w:numId w:val="2"/>
        </w:numPr>
        <w:spacing w:after="60" w:line="264"/>
        <w:ind w:left="720" w:hanging="360"/>
      </w:pPr>
      <w:r>
        <w:rPr>
          <w:sz w:val="22"/>
          <w:szCs w:val="22"/>
        </w:rPr>
        <w:t xml:space="preserve">Students will recommend a site with a stated condition and defend it with evidence from three documents.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Handout item 4 has students compare a comment letter, a petition, and hearing testimony as means of protecting a neighborhood's interests in a siting decision.</w:t>
      </w:r>
    </w:p>
    <w:p>
      <w:pPr>
        <w:keepNext/>
        <w:spacing w:after="40" w:line="264"/>
      </w:pPr>
      <w:r>
        <w:rPr>
          <w:b/>
          <w:bCs/>
          <w:sz w:val="22"/>
          <w:szCs w:val="22"/>
        </w:rPr>
        <w:t xml:space="preserve">D2.Geo.5.9-12 (C3 Framework)</w:t>
      </w:r>
      <w:r>
        <w:rPr>
          <w:sz w:val="22"/>
          <w:szCs w:val="22"/>
        </w:rPr>
        <w:t xml:space="preserve">: Evaluate how political and economic decisions throughout time have influenced cultural and environmental characteristics of various places and regions.</w:t>
      </w:r>
    </w:p>
    <w:p>
      <w:pPr>
        <w:spacing w:after="100" w:line="264"/>
        <w:ind w:left="360"/>
      </w:pPr>
      <w:r>
        <w:rPr>
          <w:i/>
          <w:iCs/>
          <w:color w:val="5B6B70"/>
          <w:sz w:val="20"/>
          <w:szCs w:val="20"/>
        </w:rPr>
        <w:t xml:space="preserve">How this material addresses it: Handout items 2 and 5 have students evaluate how a series of separate approval decisions changed the environmental character of one neighborhood and shifted who bears the burden.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siting, cumulative burden, host community, interceptor sewer, environmental review, conditions of approval</w:t>
      </w:r>
    </w:p>
    <w:p>
      <w:pPr>
        <w:pStyle w:val="Heading2"/>
        <w:keepNext/>
        <w:keepLines/>
      </w:pPr>
      <w:r>
        <w:rPr>
          <w:sz w:val="28"/>
          <w:szCs w:val="28"/>
        </w:rPr>
        <w:t xml:space="preserve">Teacher overview</w:t>
      </w:r>
    </w:p>
    <w:p>
      <w:pPr>
        <w:spacing w:after="100" w:line="264"/>
      </w:pPr>
      <w:r>
        <w:rPr>
          <w:sz w:val="22"/>
          <w:szCs w:val="22"/>
        </w:rPr>
        <w:t xml:space="preserve">Every wastewater plant sits somewhere, and the choice of where is made by an elected or appointed board working from a staff memo, a state review checklist, and whatever the public says at a hearing. This lesson gives students that full record for a fictional city, Redmayne, which must expand a plant that already stands at the edge of the Sable Row neighborhood. Students rank three sites against the utility's own criteria, read the neighborhood's cumulative-burden objection, and recommend a site with a condition attached. The misconception to name at the start is that plant locations are settled by engineers on technical grounds; the technical memo narrows the field, yet the decision belongs to a board that answers to voters and to a state agency that reviews only the questions its checklist lists.</w:t>
      </w:r>
    </w:p>
    <w:p>
      <w:pPr>
        <w:pStyle w:val="Heading2"/>
        <w:keepNext/>
        <w:keepLines/>
      </w:pPr>
      <w:r>
        <w:rPr>
          <w:sz w:val="28"/>
          <w:szCs w:val="28"/>
        </w:rPr>
        <w:t xml:space="preserve">Procedure</w:t>
      </w:r>
    </w:p>
    <w:p>
      <w:pPr>
        <w:spacing w:after="100" w:line="264"/>
      </w:pPr>
      <w:r>
        <w:rPr>
          <w:b/>
          <w:bCs/>
          <w:sz w:val="22"/>
          <w:szCs w:val="22"/>
        </w:rPr>
        <w:t xml:space="preserve">Framing the decision (8 min).</w:t>
      </w:r>
      <w:r>
        <w:rPr>
          <w:sz w:val="22"/>
          <w:szCs w:val="22"/>
        </w:rPr>
        <w:t xml:space="preserve"> Explain that the fictional city of Redmayne must enlarge its wastewater plant, and that three groups have a say: the utility staff who write the siting memo, the state agency that runs the environmental review, and the city board that votes. Ask which of the three casts the deciding vote. Poll by show of hands. If fewer than three-quarters of the class identifies the city board rather than the state agency, restate the division of roles before moving on, because every later step depends on it.</w:t>
      </w:r>
    </w:p>
    <w:p>
      <w:pPr>
        <w:spacing w:after="100" w:line="264"/>
      </w:pPr>
      <w:r>
        <w:rPr>
          <w:b/>
          <w:bCs/>
          <w:sz w:val="22"/>
          <w:szCs w:val="22"/>
        </w:rPr>
        <w:t xml:space="preserve">Reading the siting memo (12 min).</w:t>
      </w:r>
      <w:r>
        <w:rPr>
          <w:sz w:val="22"/>
          <w:szCs w:val="22"/>
        </w:rPr>
        <w:t xml:space="preserve"> Distribute the Student Handout and have students read Document A, the utility's site comparison table, in pairs. Ask each pair to state two criteria that favor keeping the plant on its current site, and to name the criterion on which that site does worst. Circulate and check that pairs are reading down the columns rather than judging by cost alone.</w:t>
      </w:r>
    </w:p>
    <w:p>
      <w:pPr>
        <w:spacing w:after="100" w:line="264"/>
      </w:pPr>
      <w:r>
        <w:rPr>
          <w:b/>
          <w:bCs/>
          <w:sz w:val="22"/>
          <w:szCs w:val="22"/>
        </w:rPr>
        <w:t xml:space="preserve">The neighborhood letter and the state checklist (10 min).</w:t>
      </w:r>
      <w:r>
        <w:rPr>
          <w:sz w:val="22"/>
          <w:szCs w:val="22"/>
        </w:rPr>
        <w:t xml:space="preserve"> Have students read Document B, the Sable Row Neighborhood Association letter, and Document C, the state review checklist. Ask the class what Document C requires the utility to study and, more usefully, what it does not require. Write both lists on the board so the gap between the neighborhood's argument and the state's questions stays visible during the analysis.</w:t>
      </w:r>
    </w:p>
    <w:p>
      <w:pPr>
        <w:spacing w:after="100" w:line="264"/>
      </w:pPr>
      <w:r>
        <w:rPr>
          <w:b/>
          <w:bCs/>
          <w:sz w:val="22"/>
          <w:szCs w:val="22"/>
        </w:rPr>
        <w:t xml:space="preserve">Handout analysis (15 min).</w:t>
      </w:r>
      <w:r>
        <w:rPr>
          <w:sz w:val="22"/>
          <w:szCs w:val="22"/>
        </w:rPr>
        <w:t xml:space="preserve"> Students complete items 1 through 6 on the handout individually. Items 1 through 3 are close reading of the documents; items 4 through 6 ask for judgment. Tell students that item 6 must cite at least two documents by letter, because the board's own rules require a recommendation to rest on the record.</w:t>
      </w:r>
    </w:p>
    <w:p>
      <w:pPr>
        <w:spacing w:after="100" w:line="264"/>
      </w:pPr>
      <w:r>
        <w:rPr>
          <w:b/>
          <w:bCs/>
          <w:sz w:val="22"/>
          <w:szCs w:val="22"/>
        </w:rPr>
        <w:t xml:space="preserve">Board simulation and exit check (10 min).</w:t>
      </w:r>
      <w:r>
        <w:rPr>
          <w:sz w:val="22"/>
          <w:szCs w:val="22"/>
        </w:rPr>
        <w:t xml:space="preserve"> Call three students to present competing recommendations from item 6, then take a vote of the class acting as the board. Collect the handouts as the exit check and read item 6 first: a response that names a site, attaches a condition, and cites two documents shows the lesson landed, while a response citing only cost shows the student stopped at Document A.</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partially completed comparison chart for Document A with the criterion names already filled in and two cells blank per site, so the close reading in item 1 starts from a secure structure. Pair students for items 4 through 6 and let them talk through the recommendation before writing.</w:t>
      </w:r>
    </w:p>
    <w:p>
      <w:pPr>
        <w:pStyle w:val="Heading3"/>
        <w:keepNext/>
        <w:keepLines/>
      </w:pPr>
      <w:r>
        <w:rPr>
          <w:sz w:val="24"/>
          <w:szCs w:val="24"/>
        </w:rPr>
        <w:t xml:space="preserve">Extension</w:t>
      </w:r>
    </w:p>
    <w:p>
      <w:pPr>
        <w:spacing w:after="100" w:line="264"/>
      </w:pPr>
      <w:r>
        <w:rPr>
          <w:sz w:val="22"/>
          <w:szCs w:val="22"/>
        </w:rPr>
        <w:t xml:space="preserve">Have students write the two-paragraph condition of approval they would move at the board meeting, in the language a board actually uses, naming who must do what, by when, and what happens if the condition is not met. Ask them to explain which sentence of their condition the utility would most likely resist.</w:t>
      </w:r>
    </w:p>
    <w:p>
      <w:pPr>
        <w:pStyle w:val="Heading3"/>
        <w:keepNext/>
        <w:keepLines/>
      </w:pPr>
      <w:r>
        <w:rPr>
          <w:sz w:val="24"/>
          <w:szCs w:val="24"/>
        </w:rPr>
        <w:t xml:space="preserve">ELL supports</w:t>
      </w:r>
    </w:p>
    <w:p>
      <w:pPr>
        <w:spacing w:after="100" w:line="264"/>
      </w:pPr>
      <w:r>
        <w:rPr>
          <w:sz w:val="22"/>
          <w:szCs w:val="22"/>
        </w:rPr>
        <w:t xml:space="preserve">Pre-teach "siting," "burden," "host community," and "condition of approval" with a simple map sketch showing the plant, the depot, the scrap yard, and the eight streets between them. Provide sentence frames for items 5 and 6, such as "The board should choose ... because Document A shows ... and Document B shows ...," and allow item 1 to be answered by circling cells in the table.</w:t>
      </w:r>
    </w:p>
    <w:p>
      <w:pPr>
        <w:pStyle w:val="Heading2"/>
        <w:keepNext/>
        <w:keepLines/>
      </w:pPr>
      <w:r>
        <w:rPr>
          <w:sz w:val="28"/>
          <w:szCs w:val="28"/>
        </w:rPr>
        <w:t xml:space="preserve">Extensions</w:t>
      </w:r>
    </w:p>
    <w:p>
      <w:pPr>
        <w:spacing w:after="100" w:line="264"/>
      </w:pPr>
      <w:r>
        <w:rPr>
          <w:sz w:val="22"/>
          <w:szCs w:val="22"/>
        </w:rPr>
        <w:t xml:space="preserve">Have students find the agenda of a recent meeting of their own city council, county board, or water district and identify one item where a facility's location was at issue. A short write-up can state who wrote the staff recommendation, who spoke against it, and whether the record shows the board attaching any condition to its approval.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Redmayne's Plant Expansion and the Sable Row Siting Review</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Student Handout</w:t>
      </w:r>
    </w:p>
    <w:p>
      <w:pPr>
        <w:spacing w:after="120" w:line="276"/>
      </w:pPr>
      <w:r>
        <w:rPr>
          <w:sz w:val="22"/>
          <w:szCs w:val="22"/>
        </w:rPr>
        <w:t xml:space="preserve">Redmayne, Sable Row, Lammerby Flats, and Nasely Bend are fictional places, and the documents below were written for this lesson. The Redmayne Water Reclamation Authority must expand its wastewater plant within four years. Read all three documents, then answer the questions.</w:t>
      </w:r>
    </w:p>
    <w:p>
      <w:pPr>
        <w:keepNext/>
        <w:keepLines/>
        <w:spacing w:after="120" w:line="276"/>
      </w:pPr>
      <w:r>
        <w:rPr>
          <w:b/>
          <w:bCs/>
          <w:sz w:val="22"/>
          <w:szCs w:val="22"/>
        </w:rPr>
        <w:t xml:space="preserve">Document A. Utility siting memo, site comparison.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120"/>
        <w:gridCol w:w="3359"/>
        <w:gridCol w:w="1985"/>
        <w:gridCol w:w="1616"/>
      </w:tblGrid>
      <w:tr>
        <w:trPr>
          <w:cantSplit/>
          <w:tblHeader/>
        </w:trPr>
        <w:tc>
          <w:tcPr>
            <w:tcW w:type="dxa" w:w="31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Criterion</w:t>
            </w:r>
          </w:p>
        </w:tc>
        <w:tc>
          <w:tcPr>
            <w:tcW w:type="dxa" w:w="335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Sable Row (expand in place)</w:t>
            </w:r>
          </w:p>
        </w:tc>
        <w:tc>
          <w:tcPr>
            <w:tcW w:type="dxa" w:w="19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Lammerby Flats</w:t>
            </w:r>
          </w:p>
        </w:tc>
        <w:tc>
          <w:tcPr>
            <w:tcW w:type="dxa" w:w="16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Nasely Bend</w:t>
            </w:r>
          </w:p>
        </w:tc>
      </w:tr>
      <w:tr>
        <w:trPr>
          <w:cantSplit/>
        </w:trPr>
        <w:tc>
          <w:tcPr>
            <w:tcW w:type="dxa" w:w="3120"/>
            <w:tcMar>
              <w:top w:type="dxa" w:w="70"/>
              <w:left w:type="dxa" w:w="100"/>
              <w:bottom w:type="dxa" w:w="70"/>
              <w:right w:type="dxa" w:w="100"/>
            </w:tcMar>
            <w:vAlign w:val="top"/>
          </w:tcPr>
          <w:p>
            <w:pPr>
              <w:keepNext/>
              <w:spacing w:after="0" w:line="252"/>
              <w:jc w:val="left"/>
            </w:pPr>
            <w:r>
              <w:rPr>
                <w:sz w:val="22"/>
                <w:szCs w:val="22"/>
              </w:rPr>
              <w:t xml:space="preserve">Capital cost</w:t>
            </w:r>
          </w:p>
        </w:tc>
        <w:tc>
          <w:tcPr>
            <w:tcW w:type="dxa" w:w="3359"/>
            <w:tcMar>
              <w:top w:type="dxa" w:w="70"/>
              <w:left w:type="dxa" w:w="100"/>
              <w:bottom w:type="dxa" w:w="70"/>
              <w:right w:type="dxa" w:w="100"/>
            </w:tcMar>
            <w:vAlign w:val="top"/>
          </w:tcPr>
          <w:p>
            <w:pPr>
              <w:keepNext/>
              <w:spacing w:after="0" w:line="252"/>
              <w:jc w:val="left"/>
            </w:pPr>
            <w:r>
              <w:rPr>
                <w:sz w:val="22"/>
                <w:szCs w:val="22"/>
              </w:rPr>
              <w:t xml:space="preserve">$61 million</w:t>
            </w:r>
          </w:p>
        </w:tc>
        <w:tc>
          <w:tcPr>
            <w:tcW w:type="dxa" w:w="1985"/>
            <w:tcMar>
              <w:top w:type="dxa" w:w="70"/>
              <w:left w:type="dxa" w:w="100"/>
              <w:bottom w:type="dxa" w:w="70"/>
              <w:right w:type="dxa" w:w="100"/>
            </w:tcMar>
            <w:vAlign w:val="top"/>
          </w:tcPr>
          <w:p>
            <w:pPr>
              <w:keepNext/>
              <w:spacing w:after="0" w:line="252"/>
              <w:jc w:val="left"/>
            </w:pPr>
            <w:r>
              <w:rPr>
                <w:sz w:val="22"/>
                <w:szCs w:val="22"/>
              </w:rPr>
              <w:t xml:space="preserve">$88 million</w:t>
            </w:r>
          </w:p>
        </w:tc>
        <w:tc>
          <w:tcPr>
            <w:tcW w:type="dxa" w:w="1616"/>
            <w:tcMar>
              <w:top w:type="dxa" w:w="70"/>
              <w:left w:type="dxa" w:w="100"/>
              <w:bottom w:type="dxa" w:w="70"/>
              <w:right w:type="dxa" w:w="100"/>
            </w:tcMar>
            <w:vAlign w:val="top"/>
          </w:tcPr>
          <w:p>
            <w:pPr>
              <w:keepNext/>
              <w:spacing w:after="0" w:line="252"/>
              <w:jc w:val="left"/>
            </w:pPr>
            <w:r>
              <w:rPr>
                <w:sz w:val="22"/>
                <w:szCs w:val="22"/>
              </w:rPr>
              <w:t xml:space="preserve">$79 million</w:t>
            </w:r>
          </w:p>
        </w:tc>
      </w:tr>
      <w:tr>
        <w:trPr>
          <w:cantSplit/>
        </w:trPr>
        <w:tc>
          <w:tcPr>
            <w:tcW w:type="dxa" w:w="3120"/>
            <w:tcMar>
              <w:top w:type="dxa" w:w="70"/>
              <w:left w:type="dxa" w:w="100"/>
              <w:bottom w:type="dxa" w:w="70"/>
              <w:right w:type="dxa" w:w="100"/>
            </w:tcMar>
            <w:vAlign w:val="top"/>
          </w:tcPr>
          <w:p>
            <w:pPr>
              <w:keepNext/>
              <w:spacing w:after="0" w:line="252"/>
              <w:jc w:val="left"/>
            </w:pPr>
            <w:r>
              <w:rPr>
                <w:sz w:val="22"/>
                <w:szCs w:val="22"/>
              </w:rPr>
              <w:t xml:space="preserve">New interceptor sewer needed</w:t>
            </w:r>
          </w:p>
        </w:tc>
        <w:tc>
          <w:tcPr>
            <w:tcW w:type="dxa" w:w="3359"/>
            <w:tcMar>
              <w:top w:type="dxa" w:w="70"/>
              <w:left w:type="dxa" w:w="100"/>
              <w:bottom w:type="dxa" w:w="70"/>
              <w:right w:type="dxa" w:w="100"/>
            </w:tcMar>
            <w:vAlign w:val="top"/>
          </w:tcPr>
          <w:p>
            <w:pPr>
              <w:keepNext/>
              <w:spacing w:after="0" w:line="252"/>
              <w:jc w:val="left"/>
            </w:pPr>
            <w:r>
              <w:rPr>
                <w:sz w:val="22"/>
                <w:szCs w:val="22"/>
              </w:rPr>
              <w:t xml:space="preserve">None</w:t>
            </w:r>
          </w:p>
        </w:tc>
        <w:tc>
          <w:tcPr>
            <w:tcW w:type="dxa" w:w="1985"/>
            <w:tcMar>
              <w:top w:type="dxa" w:w="70"/>
              <w:left w:type="dxa" w:w="100"/>
              <w:bottom w:type="dxa" w:w="70"/>
              <w:right w:type="dxa" w:w="100"/>
            </w:tcMar>
            <w:vAlign w:val="top"/>
          </w:tcPr>
          <w:p>
            <w:pPr>
              <w:keepNext/>
              <w:spacing w:after="0" w:line="252"/>
              <w:jc w:val="left"/>
            </w:pPr>
            <w:r>
              <w:rPr>
                <w:sz w:val="22"/>
                <w:szCs w:val="22"/>
              </w:rPr>
              <w:t xml:space="preserve">3.2 miles</w:t>
            </w:r>
          </w:p>
        </w:tc>
        <w:tc>
          <w:tcPr>
            <w:tcW w:type="dxa" w:w="1616"/>
            <w:tcMar>
              <w:top w:type="dxa" w:w="70"/>
              <w:left w:type="dxa" w:w="100"/>
              <w:bottom w:type="dxa" w:w="70"/>
              <w:right w:type="dxa" w:w="100"/>
            </w:tcMar>
            <w:vAlign w:val="top"/>
          </w:tcPr>
          <w:p>
            <w:pPr>
              <w:keepNext/>
              <w:spacing w:after="0" w:line="252"/>
              <w:jc w:val="left"/>
            </w:pPr>
            <w:r>
              <w:rPr>
                <w:sz w:val="22"/>
                <w:szCs w:val="22"/>
              </w:rPr>
              <w:t xml:space="preserve">1.8 miles</w:t>
            </w:r>
          </w:p>
        </w:tc>
      </w:tr>
      <w:tr>
        <w:trPr>
          <w:cantSplit/>
        </w:trPr>
        <w:tc>
          <w:tcPr>
            <w:tcW w:type="dxa" w:w="3120"/>
            <w:tcMar>
              <w:top w:type="dxa" w:w="70"/>
              <w:left w:type="dxa" w:w="100"/>
              <w:bottom w:type="dxa" w:w="70"/>
              <w:right w:type="dxa" w:w="100"/>
            </w:tcMar>
            <w:vAlign w:val="top"/>
          </w:tcPr>
          <w:p>
            <w:pPr>
              <w:keepNext/>
              <w:spacing w:after="0" w:line="252"/>
              <w:jc w:val="left"/>
            </w:pPr>
            <w:r>
              <w:rPr>
                <w:sz w:val="22"/>
                <w:szCs w:val="22"/>
              </w:rPr>
              <w:t xml:space="preserve">Distance to nearest homes</w:t>
            </w:r>
          </w:p>
        </w:tc>
        <w:tc>
          <w:tcPr>
            <w:tcW w:type="dxa" w:w="3359"/>
            <w:tcMar>
              <w:top w:type="dxa" w:w="70"/>
              <w:left w:type="dxa" w:w="100"/>
              <w:bottom w:type="dxa" w:w="70"/>
              <w:right w:type="dxa" w:w="100"/>
            </w:tcMar>
            <w:vAlign w:val="top"/>
          </w:tcPr>
          <w:p>
            <w:pPr>
              <w:keepNext/>
              <w:spacing w:after="0" w:line="252"/>
              <w:jc w:val="left"/>
            </w:pPr>
            <w:r>
              <w:rPr>
                <w:sz w:val="22"/>
                <w:szCs w:val="22"/>
              </w:rPr>
              <w:t xml:space="preserve">300 feet</w:t>
            </w:r>
          </w:p>
        </w:tc>
        <w:tc>
          <w:tcPr>
            <w:tcW w:type="dxa" w:w="1985"/>
            <w:tcMar>
              <w:top w:type="dxa" w:w="70"/>
              <w:left w:type="dxa" w:w="100"/>
              <w:bottom w:type="dxa" w:w="70"/>
              <w:right w:type="dxa" w:w="100"/>
            </w:tcMar>
            <w:vAlign w:val="top"/>
          </w:tcPr>
          <w:p>
            <w:pPr>
              <w:keepNext/>
              <w:spacing w:after="0" w:line="252"/>
              <w:jc w:val="left"/>
            </w:pPr>
            <w:r>
              <w:rPr>
                <w:sz w:val="22"/>
                <w:szCs w:val="22"/>
              </w:rPr>
              <w:t xml:space="preserve">2,100 feet</w:t>
            </w:r>
          </w:p>
        </w:tc>
        <w:tc>
          <w:tcPr>
            <w:tcW w:type="dxa" w:w="1616"/>
            <w:tcMar>
              <w:top w:type="dxa" w:w="70"/>
              <w:left w:type="dxa" w:w="100"/>
              <w:bottom w:type="dxa" w:w="70"/>
              <w:right w:type="dxa" w:w="100"/>
            </w:tcMar>
            <w:vAlign w:val="top"/>
          </w:tcPr>
          <w:p>
            <w:pPr>
              <w:keepNext/>
              <w:spacing w:after="0" w:line="252"/>
              <w:jc w:val="left"/>
            </w:pPr>
            <w:r>
              <w:rPr>
                <w:sz w:val="22"/>
                <w:szCs w:val="22"/>
              </w:rPr>
              <w:t xml:space="preserve">900 feet</w:t>
            </w:r>
          </w:p>
        </w:tc>
      </w:tr>
      <w:tr>
        <w:trPr>
          <w:cantSplit/>
        </w:trPr>
        <w:tc>
          <w:tcPr>
            <w:tcW w:type="dxa" w:w="3120"/>
            <w:tcMar>
              <w:top w:type="dxa" w:w="70"/>
              <w:left w:type="dxa" w:w="100"/>
              <w:bottom w:type="dxa" w:w="70"/>
              <w:right w:type="dxa" w:w="100"/>
            </w:tcMar>
            <w:vAlign w:val="top"/>
          </w:tcPr>
          <w:p>
            <w:pPr>
              <w:keepNext/>
              <w:spacing w:after="0" w:line="252"/>
              <w:jc w:val="left"/>
            </w:pPr>
            <w:r>
              <w:rPr>
                <w:sz w:val="22"/>
                <w:szCs w:val="22"/>
              </w:rPr>
              <w:t xml:space="preserve">Land the authority must buy</w:t>
            </w:r>
          </w:p>
        </w:tc>
        <w:tc>
          <w:tcPr>
            <w:tcW w:type="dxa" w:w="3359"/>
            <w:tcMar>
              <w:top w:type="dxa" w:w="70"/>
              <w:left w:type="dxa" w:w="100"/>
              <w:bottom w:type="dxa" w:w="70"/>
              <w:right w:type="dxa" w:w="100"/>
            </w:tcMar>
            <w:vAlign w:val="top"/>
          </w:tcPr>
          <w:p>
            <w:pPr>
              <w:keepNext/>
              <w:spacing w:after="0" w:line="252"/>
              <w:jc w:val="left"/>
            </w:pPr>
            <w:r>
              <w:rPr>
                <w:sz w:val="22"/>
                <w:szCs w:val="22"/>
              </w:rPr>
              <w:t xml:space="preserve">None</w:t>
            </w:r>
          </w:p>
        </w:tc>
        <w:tc>
          <w:tcPr>
            <w:tcW w:type="dxa" w:w="1985"/>
            <w:tcMar>
              <w:top w:type="dxa" w:w="70"/>
              <w:left w:type="dxa" w:w="100"/>
              <w:bottom w:type="dxa" w:w="70"/>
              <w:right w:type="dxa" w:w="100"/>
            </w:tcMar>
            <w:vAlign w:val="top"/>
          </w:tcPr>
          <w:p>
            <w:pPr>
              <w:keepNext/>
              <w:spacing w:after="0" w:line="252"/>
              <w:jc w:val="left"/>
            </w:pPr>
            <w:r>
              <w:rPr>
                <w:sz w:val="22"/>
                <w:szCs w:val="22"/>
              </w:rPr>
              <w:t xml:space="preserve">40 acres</w:t>
            </w:r>
          </w:p>
        </w:tc>
        <w:tc>
          <w:tcPr>
            <w:tcW w:type="dxa" w:w="1616"/>
            <w:tcMar>
              <w:top w:type="dxa" w:w="70"/>
              <w:left w:type="dxa" w:w="100"/>
              <w:bottom w:type="dxa" w:w="70"/>
              <w:right w:type="dxa" w:w="100"/>
            </w:tcMar>
            <w:vAlign w:val="top"/>
          </w:tcPr>
          <w:p>
            <w:pPr>
              <w:keepNext/>
              <w:spacing w:after="0" w:line="252"/>
              <w:jc w:val="left"/>
            </w:pPr>
            <w:r>
              <w:rPr>
                <w:sz w:val="22"/>
                <w:szCs w:val="22"/>
              </w:rPr>
              <w:t xml:space="preserve">22 acres</w:t>
            </w:r>
          </w:p>
        </w:tc>
      </w:tr>
      <w:tr>
        <w:trPr>
          <w:cantSplit/>
        </w:trPr>
        <w:tc>
          <w:tcPr>
            <w:tcW w:type="dxa" w:w="3120"/>
            <w:tcMar>
              <w:top w:type="dxa" w:w="70"/>
              <w:left w:type="dxa" w:w="100"/>
              <w:bottom w:type="dxa" w:w="70"/>
              <w:right w:type="dxa" w:w="100"/>
            </w:tcMar>
            <w:vAlign w:val="top"/>
          </w:tcPr>
          <w:p>
            <w:pPr>
              <w:spacing w:after="0" w:line="252"/>
              <w:jc w:val="left"/>
            </w:pPr>
            <w:r>
              <w:rPr>
                <w:sz w:val="22"/>
                <w:szCs w:val="22"/>
              </w:rPr>
              <w:t xml:space="preserve">Inside the mapped floodplain</w:t>
            </w:r>
          </w:p>
        </w:tc>
        <w:tc>
          <w:tcPr>
            <w:tcW w:type="dxa" w:w="3359"/>
            <w:tcMar>
              <w:top w:type="dxa" w:w="70"/>
              <w:left w:type="dxa" w:w="100"/>
              <w:bottom w:type="dxa" w:w="70"/>
              <w:right w:type="dxa" w:w="100"/>
            </w:tcMar>
            <w:vAlign w:val="top"/>
          </w:tcPr>
          <w:p>
            <w:pPr>
              <w:spacing w:after="0" w:line="252"/>
              <w:jc w:val="left"/>
            </w:pPr>
            <w:r>
              <w:rPr>
                <w:sz w:val="22"/>
                <w:szCs w:val="22"/>
              </w:rPr>
              <w:t xml:space="preserve">No</w:t>
            </w:r>
          </w:p>
        </w:tc>
        <w:tc>
          <w:tcPr>
            <w:tcW w:type="dxa" w:w="1985"/>
            <w:tcMar>
              <w:top w:type="dxa" w:w="70"/>
              <w:left w:type="dxa" w:w="100"/>
              <w:bottom w:type="dxa" w:w="70"/>
              <w:right w:type="dxa" w:w="100"/>
            </w:tcMar>
            <w:vAlign w:val="top"/>
          </w:tcPr>
          <w:p>
            <w:pPr>
              <w:spacing w:after="0" w:line="252"/>
              <w:jc w:val="left"/>
            </w:pPr>
            <w:r>
              <w:rPr>
                <w:sz w:val="22"/>
                <w:szCs w:val="22"/>
              </w:rPr>
              <w:t xml:space="preserve">Partly</w:t>
            </w:r>
          </w:p>
        </w:tc>
        <w:tc>
          <w:tcPr>
            <w:tcW w:type="dxa" w:w="1616"/>
            <w:tcMar>
              <w:top w:type="dxa" w:w="70"/>
              <w:left w:type="dxa" w:w="100"/>
              <w:bottom w:type="dxa" w:w="70"/>
              <w:right w:type="dxa" w:w="100"/>
            </w:tcMar>
            <w:vAlign w:val="top"/>
          </w:tcPr>
          <w:p>
            <w:pPr>
              <w:spacing w:after="0" w:line="252"/>
              <w:jc w:val="left"/>
            </w:pPr>
            <w:r>
              <w:rPr>
                <w:sz w:val="22"/>
                <w:szCs w:val="22"/>
              </w:rPr>
              <w:t xml:space="preserve">No</w:t>
            </w:r>
          </w:p>
        </w:tc>
      </w:tr>
    </w:tbl>
    <w:p>
      <w:pPr>
        <w:spacing w:after="160" w:before="0"/>
      </w:pPr>
    </w:p>
    <w:p>
      <w:pPr>
        <w:spacing w:after="120" w:line="276"/>
      </w:pPr>
      <w:r>
        <w:rPr>
          <w:sz w:val="22"/>
          <w:szCs w:val="22"/>
        </w:rPr>
        <w:t xml:space="preserve">The memo recommends expanding at Sable Row, citing the lowest capital cost and the fact that no new interceptor sewer would be required.</w:t>
      </w:r>
    </w:p>
    <w:p>
      <w:pPr>
        <w:spacing w:after="120" w:line="276"/>
      </w:pPr>
      <w:r>
        <w:rPr>
          <w:b/>
          <w:bCs/>
          <w:sz w:val="22"/>
          <w:szCs w:val="22"/>
        </w:rPr>
        <w:t xml:space="preserve">Document B. Letter from the Sable Row Neighborhood Association.</w:t>
      </w:r>
      <w:r>
        <w:rPr>
          <w:sz w:val="22"/>
          <w:szCs w:val="22"/>
        </w:rPr>
        <w:t xml:space="preserve"> The neighborhood already hosts the city bus depot and a metal scrap yard within four blocks of the plant. The letter argues that each of those facilities was approved on its own, so no review has ever asked what all of them together do to the same eight streets. It asks the board to choose another site, and, if the board will not, to require covered treatment basins, a truck route that avoids residential blocks, and an annual payment to the neighborhood park fund.</w:t>
      </w:r>
    </w:p>
    <w:p>
      <w:pPr>
        <w:spacing w:after="120" w:line="276"/>
      </w:pPr>
      <w:r>
        <w:rPr>
          <w:b/>
          <w:bCs/>
          <w:sz w:val="22"/>
          <w:szCs w:val="22"/>
        </w:rPr>
        <w:t xml:space="preserve">Document C. State environmental review checklist.</w:t>
      </w:r>
      <w:r>
        <w:rPr>
          <w:sz w:val="22"/>
          <w:szCs w:val="22"/>
        </w:rPr>
        <w:t xml:space="preserve"> The utility must study odor and air emissions, floodplain effects, construction traffic, wetland impacts, and must hold a comment period before the board votes and respond in writing to each comment received during that period. The checklist does not require a study of other facilities already operating near a candidate site, and it does not require any analysis of who lives in the host neighborhood.</w:t>
      </w:r>
    </w:p>
    <w:p>
      <w:pPr>
        <w:pStyle w:val="ListParagraph"/>
        <w:keepNext/>
        <w:keepLines/>
        <w:numPr>
          <w:ilvl w:val="0"/>
          <w:numId w:val="3"/>
        </w:numPr>
        <w:spacing w:after="100" w:line="276"/>
        <w:ind w:left="720" w:hanging="360"/>
      </w:pPr>
      <w:r>
        <w:rPr>
          <w:sz w:val="22"/>
          <w:szCs w:val="22"/>
        </w:rPr>
        <w:t xml:space="preserve">Using Document A, name two criteria that favor the Sable Row site and the one criterion on which that site performs worst.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B uses the term cumulative burden. Explain in your own words what that term means, and how it differs from the odor study the state checklist already requires.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thing Document C requires the utility to study and one thing it does not require. Then state which of the two matters more to the argument in Document 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association wrote a letter, gathered signatures, and plans to testify at the hearing. Explain which of the three puts a question on the record that the board must answer, and why that matters.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board picks Lammerby Flats instead. Name one group that gains from that choice and one group that bears a new cost, and state what each gains or bears.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Recommend a site and one condition the board should attach to its approval. Support your recommendation with evidence from at least two of the three documents, naming them by letter.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Redmayne's Plant Expansion and the Sable Row Siting Review</w:t>
      </w:r>
    </w:p>
    <w:p>
      <w:pPr>
        <w:keepNext/>
        <w:spacing w:after="160"/>
      </w:pPr>
      <w:r>
        <w:rPr>
          <w:color w:val="5B6B70"/>
          <w:sz w:val="20"/>
          <w:szCs w:val="20"/>
        </w:rPr>
        <w:t xml:space="preserve">Lesson plan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of capital cost, no new interceptor sewer, and no land to buy, all of which favor Sable Row (the memo itself cites the first two). Distance to the nearest homes is where it performs worst at 300 feet, against 900 feet at Nasely Bend and 2,100 feet at Lammerby Flats.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Cumulative burden means the combined effect of several facilities on the same neighborhood over time, rather than the effect of one facility considered alone. The odor study looks only at what the expanded plant would emit, so it can find an acceptable result while the neighborhood still carries the plant, the bus depot, and the scrap yard together.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correct pair, such as odor and air emissions required, and a study of nearby existing facilities not required. The omission matters more to Document B, because the association's entire argument rests on the combination of facilities that the checklist never asks about.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written comment letter, because it enters the comment period established in Document C and creates a record the board must respond to before it votes. Testimony is heard and a petition shows support, yet neither necessarily obliges a written answer.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well-matched pair. Sable Row residents gain distance from an expanded plant, while ratepayers across the city bear a higher capital cost and the households near Lammerby Flats bear the new proximity, along with whatever the floodplain finding requires.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defensible recommendation that names a site, attaches one condition, and cites two documents. A strong Sable Row answer pairs the cost and conveyance findings in Document A with the specific mitigation requested in Document B, such as covered basins and a truck route away from residential streets. A strong Nasely Bend answer pairs the 900-foot setback in Document A with the cumulative-burden argument in Document B, and acknowledges the added cost that ratepayers would carry.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Redmayne's Plant Expansion and the Sable Row Siting Review</dc:title>
  <dc:subject>Lesson plan · Grade 10 · Social Studies &amp; Civics</dc:subject>
  <dc:creator>Water for Schools</dc:creator>
  <cp:keywords>Lesson plan, Grade 10, Social Studies &amp; Civics</cp:keywords>
  <dc:description>A grade 10 lesson in which students weigh three sites for a fictional city's wastewater plant expansion against a neighborhood's cumulative-burden objection.</dc:description>
  <cp:lastModifiedBy>Water for Schools</cp:lastModifiedBy>
  <cp:revision>1</cp:revision>
  <dcterms:created xsi:type="dcterms:W3CDTF">2026-10-19T16:29:25.520Z</dcterms:created>
  <dcterms:modified xsi:type="dcterms:W3CDTF">2026-10-19T16:29:25.520Z</dcterms:modified>
</cp:coreProperties>
</file>

<file path=docProps/custom.xml><?xml version="1.0" encoding="utf-8"?>
<Properties xmlns="http://schemas.openxmlformats.org/officeDocument/2006/custom-properties" xmlns:vt="http://schemas.openxmlformats.org/officeDocument/2006/docPropsVTypes"/>
</file>