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Licensing Across State Lines: The Marrowbank Reciprocity Hearing</w:t>
      </w:r>
    </w:p>
    <w:p>
      <w:pPr>
        <w:keepNext/>
        <w:spacing w:after="160"/>
      </w:pPr>
      <w:r>
        <w:rPr>
          <w:color w:val="5B6B70"/>
          <w:sz w:val="20"/>
          <w:szCs w:val="20"/>
        </w:rPr>
        <w:t xml:space="preserve">Lesson plan · Grade 11 · Social Studies &amp; Civics</w:t>
      </w:r>
    </w:p>
    <w:p>
      <w:pPr>
        <w:spacing w:after="100" w:line="264"/>
      </w:pPr>
      <w:r>
        <w:rPr>
          <w:i/>
          <w:iCs/>
          <w:color w:val="12333F"/>
          <w:sz w:val="22"/>
          <w:szCs w:val="22"/>
        </w:rPr>
        <w:t xml:space="preserve">A grade 11 rulemaking simulation in which students testify and vote on whether a fictional state board should recognize water operator licenses earned elsewhere.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hearing packet</w:t>
            </w:r>
          </w:p>
          <w:p>
            <w:pPr>
              <w:spacing w:after="0"/>
            </w:pPr>
            <w:r>
              <w:rPr>
                <w:sz w:val="20"/>
                <w:szCs w:val="20"/>
              </w:rPr>
              <w:t xml:space="preserve">• Timer</w:t>
            </w:r>
          </w:p>
          <w:p>
            <w:pPr>
              <w:spacing w:after="0"/>
            </w:pPr>
            <w:r>
              <w:rPr>
                <w:sz w:val="20"/>
                <w:szCs w:val="20"/>
              </w:rPr>
              <w:t xml:space="preserve">• Board placards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state licensing board sets and applies entry requirements for water operators.</w:t>
      </w:r>
    </w:p>
    <w:p>
      <w:pPr>
        <w:pStyle w:val="ListParagraph"/>
        <w:keepNext/>
        <w:keepLines/>
        <w:numPr>
          <w:ilvl w:val="0"/>
          <w:numId w:val="2"/>
        </w:numPr>
        <w:spacing w:after="60" w:line="264"/>
        <w:ind w:left="720" w:hanging="360"/>
      </w:pPr>
      <w:r>
        <w:rPr>
          <w:sz w:val="22"/>
          <w:szCs w:val="22"/>
        </w:rPr>
        <w:t xml:space="preserve">Students will identify who gains and who loses from a licensing rule that excludes out-of-state credentials.</w:t>
      </w:r>
    </w:p>
    <w:p>
      <w:pPr>
        <w:pStyle w:val="ListParagraph"/>
        <w:keepLines/>
        <w:numPr>
          <w:ilvl w:val="0"/>
          <w:numId w:val="2"/>
        </w:numPr>
        <w:spacing w:after="60" w:line="264"/>
        <w:ind w:left="720" w:hanging="360"/>
      </w:pPr>
      <w:r>
        <w:rPr>
          <w:sz w:val="22"/>
          <w:szCs w:val="22"/>
        </w:rPr>
        <w:t xml:space="preserve">Students will deliver testimony and issue written findings that apply the board's stated decision standard.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Students run a formal rulemaking hearing with sworn testimony, board questioning, public comment, a recorded vote, and written findings.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Role notes and the closing analysis identify how license requirements create entry barriers whose costs and benefits fall differently on incumbents and small towns.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reciprocity, certification class, rulemaking, entry barrier, public comment</w:t>
      </w:r>
    </w:p>
    <w:p>
      <w:pPr>
        <w:pStyle w:val="Heading2"/>
        <w:keepNext/>
        <w:keepLines/>
      </w:pPr>
      <w:r>
        <w:rPr>
          <w:sz w:val="28"/>
          <w:szCs w:val="28"/>
        </w:rPr>
        <w:t xml:space="preserve">Teacher overview</w:t>
      </w:r>
    </w:p>
    <w:p>
      <w:pPr>
        <w:spacing w:after="100" w:line="264"/>
      </w:pPr>
      <w:r>
        <w:rPr>
          <w:sz w:val="22"/>
          <w:szCs w:val="22"/>
        </w:rPr>
        <w:t xml:space="preserve">Every state licenses the people who run its drinking water plants, and the license classes are tied to plant size and operating experience rather than to a college degree. That structure protects public health, and it also decides who may take a job and where. In this lesson the board of a fictional state holds a rulemaking hearing on whether to recognize licenses earned in other states, with a small town's long vacancy as the case in front of it. The misconception worth addressing directly is the student belief that a professional license is simply a test of skill. A license is also a rule about entry, so it decides who may compete for the work as well as who is competent to do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Post two sentences on the board: a licensed nurse who moves across a state line usually keeps working within weeks, while a licensed water operator may have to start over at the lowest class. Ask students to write one sentence predicting why the two professions are treated differently, and take three responses without evaluating them.</w:t>
      </w:r>
    </w:p>
    <w:p>
      <w:pPr>
        <w:spacing w:after="100" w:line="264"/>
      </w:pPr>
      <w:r>
        <w:rPr>
          <w:b/>
          <w:bCs/>
          <w:sz w:val="22"/>
          <w:szCs w:val="22"/>
        </w:rPr>
        <w:t xml:space="preserve">Framing the case (10 min):</w:t>
      </w:r>
      <w:r>
        <w:rPr>
          <w:sz w:val="22"/>
          <w:szCs w:val="22"/>
        </w:rPr>
        <w:t xml:space="preserve"> Distribute the hearing packet. Walk students through the license structure, which runs in classes tied to plant size and experience and is earned by examination after a high school diploma and on-the-job training. Give the workforce context from the packet. The Bureau of Labor Statistics projects about 10,000 openings for water and wastewater operators each year, on average, from 2025 to 2035, even though total employment in the occupation is projected to decline 6 percent. All of those openings come from replacing operators who retire or move to other occupations, and roughly one-third of the water workforce becomes retirement-eligible within the next decade. Note that the openings figure describes operators specifically rather than the whole water sector. Then read Proposed Rule 12-4 aloud and state the board's decision standard.</w:t>
      </w:r>
    </w:p>
    <w:p>
      <w:pPr>
        <w:spacing w:after="100" w:line="264"/>
      </w:pPr>
      <w:r>
        <w:rPr>
          <w:b/>
          <w:bCs/>
          <w:sz w:val="22"/>
          <w:szCs w:val="22"/>
        </w:rPr>
        <w:t xml:space="preserve">Role preparation (12 min):</w:t>
      </w:r>
      <w:r>
        <w:rPr>
          <w:sz w:val="22"/>
          <w:szCs w:val="22"/>
        </w:rPr>
        <w:t xml:space="preserve"> Assign roles from the packet. Three students serve as board members, one chairs, and the remaining students take the parts of the Lowden town manager, the Havercroft operator, the operators' association representative, the state drinking water program engineer, and the small-system advocate. Each witness prepares a 90-second statement that makes one claim, cites one item from the packet, and anticipates one question. Board members prepare two questions each and may not ask the same question twice.</w:t>
      </w:r>
    </w:p>
    <w:p>
      <w:pPr>
        <w:spacing w:after="100" w:line="264"/>
      </w:pPr>
      <w:r>
        <w:rPr>
          <w:b/>
          <w:bCs/>
          <w:sz w:val="22"/>
          <w:szCs w:val="22"/>
        </w:rPr>
        <w:t xml:space="preserve">The hearing (18 min):</w:t>
      </w:r>
      <w:r>
        <w:rPr>
          <w:sz w:val="22"/>
          <w:szCs w:val="22"/>
        </w:rPr>
        <w:t xml:space="preserve"> The chair opens, reads the proposed rule, and calls witnesses in the packet's order. Each witness gives the prepared statement, then takes one question from each board member. Reserve the last four minutes for public comment, in which any student not holding a role may speak for 30 seconds. The chair keeps time and rules statements out of order when they raise matters outside the rule.</w:t>
      </w:r>
    </w:p>
    <w:p>
      <w:pPr>
        <w:spacing w:after="100" w:line="264"/>
      </w:pPr>
      <w:r>
        <w:rPr>
          <w:b/>
          <w:bCs/>
          <w:sz w:val="22"/>
          <w:szCs w:val="22"/>
        </w:rPr>
        <w:t xml:space="preserve">Deliberation and vote (6 min):</w:t>
      </w:r>
      <w:r>
        <w:rPr>
          <w:sz w:val="22"/>
          <w:szCs w:val="22"/>
        </w:rPr>
        <w:t xml:space="preserve"> Board members deliberate aloud, each stating which testimony moved them and why, and then vote to adopt, amend, or reject Rule 12-4. The chair announces the vote and states the finding in one sentence.</w:t>
      </w:r>
    </w:p>
    <w:p>
      <w:pPr>
        <w:spacing w:after="100" w:line="264"/>
      </w:pPr>
      <w:r>
        <w:rPr>
          <w:b/>
          <w:bCs/>
          <w:sz w:val="22"/>
          <w:szCs w:val="22"/>
        </w:rPr>
        <w:t xml:space="preserve">Formative check and exit ticket (4 min):</w:t>
      </w:r>
      <w:r>
        <w:rPr>
          <w:sz w:val="22"/>
          <w:szCs w:val="22"/>
        </w:rPr>
        <w:t xml:space="preserve"> Collect an index card from every student answering one question: name one group that gains and one group that loses under the board's decision, and give the reason for each. Scan the cards before dismissal. If fewer than three-quarters of the cards name a group on each side with a reason, reopen the analysis at the start of the next class using the association representative's testimony as the anchor.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completed model statement for a witness who does not appear in the hearing, showing the claim, the citation, and the anticipated question in three labeled sentences. Allow board members to use two pre-written questions from a provided list of six.</w:t>
      </w:r>
    </w:p>
    <w:p>
      <w:pPr>
        <w:pStyle w:val="Heading3"/>
        <w:keepNext/>
        <w:keepLines/>
      </w:pPr>
      <w:r>
        <w:rPr>
          <w:sz w:val="24"/>
          <w:szCs w:val="24"/>
        </w:rPr>
        <w:t xml:space="preserve">Extension</w:t>
      </w:r>
    </w:p>
    <w:p>
      <w:pPr>
        <w:spacing w:after="100" w:line="264"/>
      </w:pPr>
      <w:r>
        <w:rPr>
          <w:sz w:val="22"/>
          <w:szCs w:val="22"/>
        </w:rPr>
        <w:t xml:space="preserve">Have students draft the amendment the board would need if it wanted to grant reciprocity only for systems below a stated population, then explain which witness that amendment satisfies and which it does not.</w:t>
      </w:r>
    </w:p>
    <w:p>
      <w:pPr>
        <w:pStyle w:val="Heading3"/>
        <w:keepNext/>
        <w:keepLines/>
      </w:pPr>
      <w:r>
        <w:rPr>
          <w:sz w:val="24"/>
          <w:szCs w:val="24"/>
        </w:rPr>
        <w:t xml:space="preserve">ELL supports</w:t>
      </w:r>
    </w:p>
    <w:p>
      <w:pPr>
        <w:spacing w:after="100" w:line="264"/>
      </w:pPr>
      <w:r>
        <w:rPr>
          <w:sz w:val="22"/>
          <w:szCs w:val="22"/>
        </w:rPr>
        <w:t xml:space="preserve">Pre-teach "reciprocity," "certification class," "rulemaking," and "entry barrier" with a short definition and a paired example. Provide a testimony frame: "My name is ___ and I represent ___. My position on Rule 12-4 is ___, because ___. The packet shows ___."</w:t>
      </w:r>
    </w:p>
    <w:p>
      <w:pPr>
        <w:pStyle w:val="Heading2"/>
        <w:keepNext/>
        <w:keepLines/>
      </w:pPr>
      <w:r>
        <w:rPr>
          <w:sz w:val="28"/>
          <w:szCs w:val="28"/>
        </w:rPr>
        <w:t xml:space="preserve">Extensions</w:t>
      </w:r>
    </w:p>
    <w:p>
      <w:pPr>
        <w:spacing w:after="100" w:line="264"/>
      </w:pPr>
      <w:r>
        <w:rPr>
          <w:sz w:val="22"/>
          <w:szCs w:val="22"/>
        </w:rPr>
        <w:t xml:space="preserve">Students look up the operator certification page of their own state's drinking water program and report whether it grants reciprocity, what it requires of an applicant licensed elsewhere, and how that compares with Rule 12-4.</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Licensing Across State Lines: The Marrowbank Reciprocity Hearing</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Handout</w:t>
      </w:r>
    </w:p>
    <w:p>
      <w:pPr>
        <w:keepNext/>
        <w:keepLines/>
        <w:spacing w:after="120" w:line="276"/>
      </w:pPr>
      <w:r>
        <w:rPr>
          <w:b/>
          <w:bCs/>
          <w:sz w:val="22"/>
          <w:szCs w:val="22"/>
        </w:rPr>
        <w:t xml:space="preserve">Hearing packet: Marrowbank Board of Water Operator Certification (fictional).</w:t>
      </w:r>
    </w:p>
    <w:p>
      <w:pPr>
        <w:spacing w:after="120" w:line="276"/>
      </w:pPr>
      <w:r>
        <w:rPr>
          <w:b/>
          <w:bCs/>
          <w:sz w:val="22"/>
          <w:szCs w:val="22"/>
        </w:rPr>
        <w:t xml:space="preserve">Proposed Rule 12-4.</w:t>
      </w:r>
      <w:r>
        <w:rPr>
          <w:sz w:val="22"/>
          <w:szCs w:val="22"/>
        </w:rPr>
        <w:t xml:space="preserve"> The board may issue a Marrowbank operator license at the same class an applicant holds in another state, if the board finds the other state's examination and experience requirements substantially equivalent, and if the applicant passes a Marrowbank rules examination covering state regulations and reporting.</w:t>
      </w:r>
    </w:p>
    <w:p>
      <w:pPr>
        <w:spacing w:after="120" w:line="276"/>
      </w:pPr>
      <w:r>
        <w:rPr>
          <w:b/>
          <w:bCs/>
          <w:sz w:val="22"/>
          <w:szCs w:val="22"/>
        </w:rPr>
        <w:t xml:space="preserve">Current rule.</w:t>
      </w:r>
      <w:r>
        <w:rPr>
          <w:sz w:val="22"/>
          <w:szCs w:val="22"/>
        </w:rPr>
        <w:t xml:space="preserve"> An applicant licensed elsewhere begins at Class I in Marrowbank and must complete two years of operating experience inside Marrowbank before sitting for the Class III examination.</w:t>
      </w:r>
    </w:p>
    <w:p>
      <w:pPr>
        <w:spacing w:after="120" w:line="276"/>
      </w:pPr>
      <w:r>
        <w:rPr>
          <w:b/>
          <w:bCs/>
          <w:sz w:val="22"/>
          <w:szCs w:val="22"/>
        </w:rPr>
        <w:t xml:space="preserve">Decision standard.</w:t>
      </w:r>
      <w:r>
        <w:rPr>
          <w:sz w:val="22"/>
          <w:szCs w:val="22"/>
        </w:rPr>
        <w:t xml:space="preserve"> The board shall adopt a rule only if it finds that the rule protects public health and does not lower the competence required to operate a plant of a given size.</w:t>
      </w:r>
    </w:p>
    <w:p>
      <w:pPr>
        <w:spacing w:after="120" w:line="276"/>
      </w:pPr>
      <w:r>
        <w:rPr>
          <w:b/>
          <w:bCs/>
          <w:sz w:val="22"/>
          <w:szCs w:val="22"/>
        </w:rPr>
        <w:t xml:space="preserve">Witness 1, town manager of Lowden (fictional).</w:t>
      </w:r>
      <w:r>
        <w:rPr>
          <w:sz w:val="22"/>
          <w:szCs w:val="22"/>
        </w:rPr>
        <w:t xml:space="preserve"> Lowden serves 4,100 people and has held a Class III vacancy for 14 months since its chief operator retired. A Class III operator licensed in Havercroft applied, then withdrew when she learned she would start at Class I. The town is now paying a contract operator to visit twice a week.</w:t>
      </w:r>
    </w:p>
    <w:p>
      <w:pPr>
        <w:spacing w:after="120" w:line="276"/>
      </w:pPr>
      <w:r>
        <w:rPr>
          <w:b/>
          <w:bCs/>
          <w:sz w:val="22"/>
          <w:szCs w:val="22"/>
        </w:rPr>
        <w:t xml:space="preserve">Witness 2, the Havercroft operator (fictional).</w:t>
      </w:r>
      <w:r>
        <w:rPr>
          <w:sz w:val="22"/>
          <w:szCs w:val="22"/>
        </w:rPr>
        <w:t xml:space="preserve"> She holds a Class III license earned by examination after six years at a surface water plant. She is willing to take a Marrowbank rules examination, and she is not willing to spend two years at a lower class and lower pay to repeat work she has already done.</w:t>
      </w:r>
    </w:p>
    <w:p>
      <w:pPr>
        <w:spacing w:after="120" w:line="276"/>
      </w:pPr>
      <w:r>
        <w:rPr>
          <w:b/>
          <w:bCs/>
          <w:sz w:val="22"/>
          <w:szCs w:val="22"/>
        </w:rPr>
        <w:t xml:space="preserve">Witness 3, operators' association representative (fictional).</w:t>
      </w:r>
      <w:r>
        <w:rPr>
          <w:sz w:val="22"/>
          <w:szCs w:val="22"/>
        </w:rPr>
        <w:t xml:space="preserve"> He argues that Marrowbank's source waters and reporting rules differ from Havercroft's, that the two-year requirement is how local knowledge is built, and that easing entry will hold down wages in a field where experienced operators are already leaving faster than they are replaced.</w:t>
      </w:r>
    </w:p>
    <w:p>
      <w:pPr>
        <w:spacing w:after="120" w:line="276"/>
      </w:pPr>
      <w:r>
        <w:rPr>
          <w:b/>
          <w:bCs/>
          <w:sz w:val="22"/>
          <w:szCs w:val="22"/>
        </w:rPr>
        <w:t xml:space="preserve">Witness 4, state drinking water program engineer (fictional).</w:t>
      </w:r>
      <w:r>
        <w:rPr>
          <w:sz w:val="22"/>
          <w:szCs w:val="22"/>
        </w:rPr>
        <w:t xml:space="preserve"> She reports that most compliance violations in small systems involve monitoring and reporting rather than treatment technique, and that the rules examination in Rule 12-4 would test exactly those requirements.</w:t>
      </w:r>
    </w:p>
    <w:p>
      <w:pPr>
        <w:spacing w:after="120" w:line="276"/>
      </w:pPr>
      <w:r>
        <w:rPr>
          <w:b/>
          <w:bCs/>
          <w:sz w:val="22"/>
          <w:szCs w:val="22"/>
        </w:rPr>
        <w:t xml:space="preserve">Witness 5, small-system advocate (fictional).</w:t>
      </w:r>
      <w:r>
        <w:rPr>
          <w:sz w:val="22"/>
          <w:szCs w:val="22"/>
        </w:rPr>
        <w:t xml:space="preserve"> He notes that towns the size of Lowden compete for the same shrinking pool of licensed operators as large utilities that pay more, and that a vacancy filled by a contract operator is more expensive per hour than a licensed employee.</w:t>
      </w:r>
    </w:p>
    <w:p>
      <w:pPr>
        <w:spacing w:after="120" w:line="276"/>
      </w:pPr>
      <w:r>
        <w:rPr>
          <w:b/>
          <w:bCs/>
          <w:sz w:val="22"/>
          <w:szCs w:val="22"/>
        </w:rPr>
        <w:t xml:space="preserve">Note-taking table.</w:t>
      </w:r>
      <w:r>
        <w:rPr>
          <w:sz w:val="22"/>
          <w:szCs w:val="22"/>
        </w:rPr>
        <w:t xml:space="preserve"> For each witness, record the claim, the strongest evidence, and the question the board should have asked.</w:t>
      </w:r>
    </w:p>
    <w:p>
      <w:pPr>
        <w:spacing w:after="120" w:line="276"/>
      </w:pPr>
      <w:r>
        <w:rPr>
          <w:b/>
          <w:bCs/>
          <w:sz w:val="22"/>
          <w:szCs w:val="22"/>
        </w:rPr>
        <w:t xml:space="preserve">Written findings template.</w:t>
      </w:r>
      <w:r>
        <w:rPr>
          <w:sz w:val="22"/>
          <w:szCs w:val="22"/>
        </w:rPr>
        <w:t xml:space="preserve"> The board finds that Rule 12-4 does or does not meet the decision standard, because ___. The board therefore votes to ___. One condition the board attaches is ___.</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Licensing Across State Lines: The Marrowbank Reciprocity Hearing</dc:title>
  <dc:subject>Lesson plan · Grade 11 · Social Studies &amp; Civics</dc:subject>
  <dc:creator>Water for Schools</dc:creator>
  <cp:keywords>Lesson plan, Grade 11, Social Studies &amp; Civics</cp:keywords>
  <dc:description>A grade 11 rulemaking simulation in which students testify and vote on whether a fictional state board should recognize water operator licenses earned elsewhere.</dc:description>
  <cp:lastModifiedBy>Water for Schools</cp:lastModifiedBy>
  <cp:revision>1</cp:revision>
  <dcterms:created xsi:type="dcterms:W3CDTF">2026-10-19T16:29:25.934Z</dcterms:created>
  <dcterms:modified xsi:type="dcterms:W3CDTF">2026-10-19T16:29:25.934Z</dcterms:modified>
</cp:coreProperties>
</file>

<file path=docProps/custom.xml><?xml version="1.0" encoding="utf-8"?>
<Properties xmlns="http://schemas.openxmlformats.org/officeDocument/2006/custom-properties" xmlns:vt="http://schemas.openxmlformats.org/officeDocument/2006/docPropsVTypes"/>
</file>