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1902 Reclamation Act: A Grade 11 Document-Based Inquiry</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U.S. history inquiry in which students source, contextualize, and corroborate five stakeholder statements and a timeline on the 1902 Reclamation Act.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(five stakeholder statements, reclamation timeline, sourcing chart, and questions 1-9), one per student or pair</w:t>
            </w:r>
          </w:p>
          <w:p>
            <w:pPr>
              <w:spacing w:after="0"/>
            </w:pPr>
            <w:r>
              <w:rPr>
                <w:sz w:val="20"/>
                <w:szCs w:val="20"/>
              </w:rPr>
              <w:t xml:space="preserve">• Chart paper or a projected discussion board</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source and contextualize five stakeholder statements, written for this lesson, that represent views on federal reclamation in 1901 and 1902.</w:t>
      </w:r>
    </w:p>
    <w:p>
      <w:pPr>
        <w:pStyle w:val="ListParagraph"/>
        <w:keepNext/>
        <w:keepLines/>
        <w:numPr>
          <w:ilvl w:val="0"/>
          <w:numId w:val="2"/>
        </w:numPr>
        <w:spacing w:after="60" w:line="264"/>
        <w:ind w:left="720" w:hanging="360"/>
      </w:pPr>
      <w:r>
        <w:rPr>
          <w:sz w:val="22"/>
          <w:szCs w:val="22"/>
        </w:rPr>
        <w:t xml:space="preserve">Students will explain how the Reclamation Act shifted responsibility for large water projects from private and state actors to the federal government.</w:t>
      </w:r>
    </w:p>
    <w:p>
      <w:pPr>
        <w:pStyle w:val="ListParagraph"/>
        <w:keepNext/>
        <w:keepLines/>
        <w:numPr>
          <w:ilvl w:val="0"/>
          <w:numId w:val="2"/>
        </w:numPr>
        <w:spacing w:after="60" w:line="264"/>
        <w:ind w:left="720" w:hanging="360"/>
      </w:pPr>
      <w:r>
        <w:rPr>
          <w:sz w:val="22"/>
          <w:szCs w:val="22"/>
        </w:rPr>
        <w:t xml:space="preserve">Students will evaluate how federally funded irrigation reshaped settlement and the environment in the arid West.</w:t>
      </w:r>
    </w:p>
    <w:p>
      <w:pPr>
        <w:pStyle w:val="ListParagraph"/>
        <w:keepLines/>
        <w:numPr>
          <w:ilvl w:val="0"/>
          <w:numId w:val="2"/>
        </w:numPr>
        <w:spacing w:after="60" w:line="264"/>
        <w:ind w:left="720" w:hanging="360"/>
      </w:pPr>
      <w:r>
        <w:rPr>
          <w:sz w:val="22"/>
          <w:szCs w:val="22"/>
        </w:rPr>
        <w:t xml:space="preserve">Students will corroborate a claim across at least two documents and identify where the documents disagree.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Students evaluate how the federal decision to fund reclamation changed settlement, land use, and river flows in the arid West, using timeline outcomes such as the Truckee River diversion and the repayment crisis to judge the political and economic choice behind them.</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analyze federal reclamation as one historical means of changing society and promoting the common good, weighing competing claims about who it helped and harmed.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reclamation, arid, sourcing, corroboration, point of view, homestead, appropriation</w:t>
      </w:r>
    </w:p>
    <w:p>
      <w:pPr>
        <w:pStyle w:val="Heading2"/>
        <w:keepNext/>
        <w:keepLines/>
      </w:pPr>
      <w:r>
        <w:rPr>
          <w:sz w:val="28"/>
          <w:szCs w:val="28"/>
        </w:rPr>
        <w:t xml:space="preserve">Teacher overview</w:t>
      </w:r>
    </w:p>
    <w:p>
      <w:pPr>
        <w:spacing w:after="100" w:line="264"/>
      </w:pPr>
      <w:r>
        <w:rPr>
          <w:sz w:val="22"/>
          <w:szCs w:val="22"/>
        </w:rPr>
        <w:t xml:space="preserve">In 1902, Congress passed the Reclamation Act, committing the federal government to build dams and irrigation canals across the dry western territories and states, work that private companies and individual states had mostly failed to finance on their own. This lesson treats that decision as a document-based inquiry: students read five short stakeholder statements, composites written for this lesson that each represent a real category of person in the debate, alongside a historical timeline running from the Homestead Act of 1862 to the renaming of the Reclamation Service in 1923. Students practice sourcing, contextualization, and corroboration, and they test the documents' predictions against what the timeline shows happened after 1902, so that they see a single federal law as a contested choice with uneven consequences rather than as an inevitable step forward. Tell students plainly that the statements are not quotations from real people, while the timeline entries are historical.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one sentence: "The federal government should pay to move water to land that cannot farm without it." Ask students to place themselves on a four-corners agree-to-disagree scale and to name, in one phrase, who would gain and who would pay. Record two or three responses without resolving them.</w:t>
      </w:r>
    </w:p>
    <w:p>
      <w:pPr>
        <w:spacing w:after="100" w:line="264"/>
      </w:pPr>
      <w:r>
        <w:rPr>
          <w:b/>
          <w:bCs/>
          <w:sz w:val="22"/>
          <w:szCs w:val="22"/>
        </w:rPr>
        <w:t xml:space="preserve">Timeline and modeling the sourcing move (10 min):</w:t>
      </w:r>
      <w:r>
        <w:rPr>
          <w:sz w:val="22"/>
          <w:szCs w:val="22"/>
        </w:rPr>
        <w:t xml:space="preserve"> Distribute the Student Handout. Give students three minutes to read the timeline silently and circle the two entries they think best explain why westerners were asking for federal help by 1901. Then, using only Document A (a homesteader's letter to a territorial newspaper), model the five columns of the sourcing chart aloud: who wrote it and for what audience, why they wrote it, what point of view shapes it, which timeline entry places it in context, and what claim a historian would want to corroborate elsewhere. Students record the model row as their answer to question 1. Emphasize that a source's purpose changes how much weight its claims carry, and remind students that the documents are composites written for this lesson.</w:t>
      </w:r>
    </w:p>
    <w:p>
      <w:pPr>
        <w:spacing w:after="100" w:line="264"/>
      </w:pPr>
      <w:r>
        <w:rPr>
          <w:b/>
          <w:bCs/>
          <w:sz w:val="22"/>
          <w:szCs w:val="22"/>
        </w:rPr>
        <w:t xml:space="preserve">Document station work (20 min):</w:t>
      </w:r>
      <w:r>
        <w:rPr>
          <w:sz w:val="22"/>
          <w:szCs w:val="22"/>
        </w:rPr>
        <w:t xml:space="preserve"> In pairs, students complete the sourcing chart for Documents B through E (questions 2 to 5): an eastern member of Congress worried about federal spending, a federal engineer, a railroad land agent, and a rancher skeptical that arid land should be farmed with public money. Pairs then answer the two corroboration questions, 6 and 7, marking where two documents support the same claim and where they conflict. Circulate and push pairs to cite the specific document letter and timeline year, not a general impression. Pairs that finish early begin question 8.</w:t>
      </w:r>
    </w:p>
    <w:p>
      <w:pPr>
        <w:spacing w:after="100" w:line="264"/>
      </w:pPr>
      <w:r>
        <w:rPr>
          <w:b/>
          <w:bCs/>
          <w:sz w:val="22"/>
          <w:szCs w:val="22"/>
        </w:rPr>
        <w:t xml:space="preserve">Structured discussion (12 min):</w:t>
      </w:r>
      <w:r>
        <w:rPr>
          <w:sz w:val="22"/>
          <w:szCs w:val="22"/>
        </w:rPr>
        <w:t xml:space="preserve"> Bring the class together for an evidence-anchored discussion built on questions 8 and 9: what responsibility did the Reclamation Act move from private and state hands to the federal government, and whose interests does the document set leave out. Require every contribution to name a document or a timeline year. Track the named sources on the board so students can see which voices they are relying on, and point out that no document speaks for a Native nation even though the 1905 and 1908 timeline entries show Native nations were directly affected.</w:t>
      </w:r>
    </w:p>
    <w:p>
      <w:pPr>
        <w:spacing w:after="100" w:line="264"/>
      </w:pPr>
      <w:r>
        <w:rPr>
          <w:b/>
          <w:bCs/>
          <w:sz w:val="22"/>
          <w:szCs w:val="22"/>
        </w:rPr>
        <w:t xml:space="preserve">Exit ticket (8 min):</w:t>
      </w:r>
      <w:r>
        <w:rPr>
          <w:sz w:val="22"/>
          <w:szCs w:val="22"/>
        </w:rPr>
        <w:t xml:space="preserve"> On an index card, each student writes a claim answering "Did federal reclamation serve the common good?" and supports it with evidence from at least two documents and one timeline entry dated after 1902, noting one group the policy disadvantaged. Collect the cards and sort them into those that corroborate across sources and those that lean on a single document. If more than a third of the cards rest on one document, open the next class by having students reread Documents C and E side by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sourcing chart with the rows for Documents A and B filled in except for the point-of-view and claim-to-corroborate columns, and supply a short glossary card defining reclamation, arid, and appropriation with a plain-language example for each. Highlight the timeline entries for 1894, 1902, 1905, and 1914 so students know where to look first.</w:t>
      </w:r>
    </w:p>
    <w:p>
      <w:pPr>
        <w:pStyle w:val="Heading3"/>
        <w:keepNext/>
        <w:keepLines/>
      </w:pPr>
      <w:r>
        <w:rPr>
          <w:sz w:val="24"/>
          <w:szCs w:val="24"/>
        </w:rPr>
        <w:t xml:space="preserve">Extension</w:t>
      </w:r>
    </w:p>
    <w:p>
      <w:pPr>
        <w:spacing w:after="100" w:line="264"/>
      </w:pPr>
      <w:r>
        <w:rPr>
          <w:sz w:val="22"/>
          <w:szCs w:val="22"/>
        </w:rPr>
        <w:t xml:space="preserve">Ask students to write a sixth stakeholder statement from a perspective missing in the packet, such as a member of the Pyramid Lake Paiute Tribe writing after the 1905 diversion, and to explain in a short paragraph which claims in Documents A, C, and D that new voice would challenge and which timeline entries support it.</w:t>
      </w:r>
    </w:p>
    <w:p>
      <w:pPr>
        <w:pStyle w:val="Heading3"/>
        <w:keepNext/>
        <w:keepLines/>
      </w:pPr>
      <w:r>
        <w:rPr>
          <w:sz w:val="24"/>
          <w:szCs w:val="24"/>
        </w:rPr>
        <w:t xml:space="preserve">ELL supports</w:t>
      </w:r>
    </w:p>
    <w:p>
      <w:pPr>
        <w:spacing w:after="100" w:line="264"/>
      </w:pPr>
      <w:r>
        <w:rPr>
          <w:sz w:val="22"/>
          <w:szCs w:val="22"/>
        </w:rPr>
        <w:t xml:space="preserve">Pre-teach "reclamation," "sourcing," "corroboration," "appropriation," and "point of view" with a labeled example that walks through one short quotation. Provide sentence starters for the chart, such as "This writer wants readers to ___ because ___" and "Document ___ agrees with Document ___ that ___." Allow students to complete the sourcing chart with short phrases and to deliver their exit-ticket claim orally to the teacher if writing a full paragraph is a barrier.</w:t>
      </w:r>
    </w:p>
    <w:p>
      <w:pPr>
        <w:pStyle w:val="Heading2"/>
        <w:keepNext/>
        <w:keepLines/>
      </w:pPr>
      <w:r>
        <w:rPr>
          <w:sz w:val="28"/>
          <w:szCs w:val="28"/>
        </w:rPr>
        <w:t xml:space="preserve">Extensions</w:t>
      </w:r>
    </w:p>
    <w:p>
      <w:pPr>
        <w:spacing w:after="100" w:line="264"/>
      </w:pPr>
      <w:r>
        <w:rPr>
          <w:sz w:val="22"/>
          <w:szCs w:val="22"/>
        </w:rPr>
        <w:t xml:space="preserve">Have students compare the federal role established by the Reclamation Act with a present-day federal water program, such as grants for lead service line replacement, and write a short paragraph on what stays the same and what changes when the federal government funds local water infrastructure a century apart.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1902 Reclamation Act</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The 1902 Reclamation Act: documents and questions</w:t>
      </w:r>
    </w:p>
    <w:p>
      <w:pPr>
        <w:spacing w:after="120" w:line="276"/>
      </w:pPr>
      <w:r>
        <w:rPr>
          <w:sz w:val="22"/>
          <w:szCs w:val="22"/>
        </w:rPr>
        <w:t xml:space="preserve">The five documents below were written for this lesson. Each one represents a kind of person who took part in the argument over federal irrigation in 1901 and 1902, and the writers are not real individuals. The timeline that follows them is historical.</w:t>
      </w:r>
    </w:p>
    <w:p>
      <w:pPr>
        <w:keepNext/>
        <w:keepLines/>
        <w:spacing w:after="120" w:line="276"/>
      </w:pPr>
      <w:r>
        <w:rPr>
          <w:b/>
          <w:bCs/>
          <w:sz w:val="22"/>
          <w:szCs w:val="22"/>
        </w:rPr>
        <w:t xml:space="preserve">Document A. A homesteader's letter to a territorial newspaper, Arizona Territory, March 1901.</w:t>
      </w:r>
    </w:p>
    <w:p>
      <w:pPr>
        <w:pBdr>
          <w:left w:val="single" w:color="17606A" w:sz="12" w:space="8"/>
        </w:pBdr>
        <w:spacing w:after="120" w:line="276"/>
        <w:ind w:left="360"/>
      </w:pPr>
      <w:r>
        <w:rPr>
          <w:sz w:val="22"/>
          <w:szCs w:val="22"/>
        </w:rPr>
        <w:t xml:space="preserve">To the Editor: My family took up a homestead on the Dry Fork with every hope of raising alfalfa and fruit. The soil is as rich as any in Ohio. What it lacks is water at the right season. The river runs high in spring and is nearly dry by July, and no farmer alone can build the dam that would hold the spring flood until summer. Two companies have tried to build such works in this valley, and both failed for want of money. The government owns most of the land out here and sells it to settlers. Let it build reservoirs with the proceeds, and let us repay the cost from our harvests. Give us stored water and we will make the desert bloom. Congress need not fear that we are asking for charity. We are asking for a fair start. (Signed) A Homesteader on the Dry Fork</w:t>
      </w:r>
    </w:p>
    <w:p>
      <w:pPr>
        <w:spacing w:after="160" w:before="0"/>
      </w:pPr>
    </w:p>
    <w:p>
      <w:pPr>
        <w:keepNext/>
        <w:keepLines/>
        <w:spacing w:after="120" w:line="276"/>
      </w:pPr>
      <w:r>
        <w:rPr>
          <w:b/>
          <w:bCs/>
          <w:sz w:val="22"/>
          <w:szCs w:val="22"/>
        </w:rPr>
        <w:t xml:space="preserve">Document B. Remarks prepared for debate in the House of Representatives by a member from an eastern farming district, June 1902.</w:t>
      </w:r>
    </w:p>
    <w:p>
      <w:pPr>
        <w:pBdr>
          <w:left w:val="single" w:color="17606A" w:sz="12" w:space="8"/>
        </w:pBdr>
        <w:spacing w:after="120" w:line="276"/>
        <w:ind w:left="360"/>
      </w:pPr>
      <w:r>
        <w:rPr>
          <w:sz w:val="22"/>
          <w:szCs w:val="22"/>
        </w:rPr>
        <w:t xml:space="preserve">Mr. Speaker, the bill before us asks the nation to become a builder of ditches and dams in regions where few of my constituents will ever set foot. We are told the cost will be paid from western land sales and returned by the settlers who use the water. I have heard many promises of repayment in this chamber and seen few of them kept. If these projects fail, the Treasury will be asked to cover the loss. If they succeed, the farmers of my district, who cleared their own land and dug their own drains at their own expense, will meet new competition in the markets from farms watered at public cost. This is a subsidy for a few, granted under the name of national development. Let the western states and the private companies carry the risk, as other regions have done.</w:t>
      </w:r>
    </w:p>
    <w:p>
      <w:pPr>
        <w:spacing w:after="160" w:before="0"/>
      </w:pPr>
    </w:p>
    <w:p>
      <w:pPr>
        <w:keepNext/>
        <w:keepLines/>
        <w:spacing w:after="120" w:line="276"/>
      </w:pPr>
      <w:r>
        <w:rPr>
          <w:b/>
          <w:bCs/>
          <w:sz w:val="22"/>
          <w:szCs w:val="22"/>
        </w:rPr>
        <w:t xml:space="preserve">Document C. Report to a committee of Congress by an engineer of the U.S. Geological Survey, January 1902.</w:t>
      </w:r>
    </w:p>
    <w:p>
      <w:pPr>
        <w:pBdr>
          <w:left w:val="single" w:color="17606A" w:sz="12" w:space="8"/>
        </w:pBdr>
        <w:spacing w:after="120" w:line="276"/>
        <w:ind w:left="360"/>
      </w:pPr>
      <w:r>
        <w:rPr>
          <w:sz w:val="22"/>
          <w:szCs w:val="22"/>
        </w:rPr>
        <w:t xml:space="preserve">Our stream measurements show that the rivers of the arid region carry most of their yearly flow in a few weeks of spring snowmelt. A reservoir that holds that flood and releases it through the growing season can turn a dry valley into productive farmland, and the small works already in operation have shown this. The difficulty lies in scale and planning rather than in the method. The best reservoir sites are on rivers that cross state lines, and the cost of a large storage dam is more than a private company can raise and recover before its creditors lose patience. Even with every suitable site developed, only a modest share of the arid land can be irrigated, because there is not enough water for the rest. The work should be planned river by river by the national government, and the water should be tied to the land and to the settler who lives on it, so that speculators cannot buy it up.</w:t>
      </w:r>
    </w:p>
    <w:p>
      <w:pPr>
        <w:spacing w:after="160" w:before="0"/>
      </w:pPr>
    </w:p>
    <w:p>
      <w:pPr>
        <w:keepNext/>
        <w:keepLines/>
        <w:spacing w:after="120" w:line="276"/>
      </w:pPr>
      <w:r>
        <w:rPr>
          <w:b/>
          <w:bCs/>
          <w:sz w:val="22"/>
          <w:szCs w:val="22"/>
        </w:rPr>
        <w:t xml:space="preserve">Document D. Pamphlet from the land department of a western railroad, autumn 1902.</w:t>
      </w:r>
    </w:p>
    <w:p>
      <w:pPr>
        <w:pBdr>
          <w:left w:val="single" w:color="17606A" w:sz="12" w:space="8"/>
        </w:pBdr>
        <w:spacing w:after="120" w:line="276"/>
        <w:ind w:left="360"/>
      </w:pPr>
      <w:r>
        <w:rPr>
          <w:sz w:val="22"/>
          <w:szCs w:val="22"/>
        </w:rPr>
        <w:t xml:space="preserve">Farms in the Irrigated West. The passage of the national irrigation law opens a new era for the valleys along our line. Lands that today grow only sagebrush will soon receive water from government reservoirs, and the settler who buys now will own a farm that can only rise in value. Our company holds lands near every proposed project and offers them on easy terms, with reduced fares for families who travel out to inspect them. Every farm along our line ships its crops to market over our rails, so the prosperity of the settler and the prosperity of the railroad are one and the same. Further tracts along the river, now within the reservation, are expected to be opened to settlement as the government works advance.</w:t>
      </w:r>
    </w:p>
    <w:p>
      <w:pPr>
        <w:spacing w:after="160" w:before="0"/>
      </w:pPr>
    </w:p>
    <w:p>
      <w:pPr>
        <w:keepNext/>
        <w:keepLines/>
        <w:spacing w:after="120" w:line="276"/>
      </w:pPr>
      <w:r>
        <w:rPr>
          <w:b/>
          <w:bCs/>
          <w:sz w:val="22"/>
          <w:szCs w:val="22"/>
        </w:rPr>
        <w:t xml:space="preserve">Document E. Remarks by a cattle rancher to a meeting of a stock growers' association, Wyoming, December 1901.</w:t>
      </w:r>
    </w:p>
    <w:p>
      <w:pPr>
        <w:pBdr>
          <w:left w:val="single" w:color="17606A" w:sz="12" w:space="8"/>
        </w:pBdr>
        <w:spacing w:after="120" w:line="276"/>
        <w:ind w:left="360"/>
      </w:pPr>
      <w:r>
        <w:rPr>
          <w:sz w:val="22"/>
          <w:szCs w:val="22"/>
        </w:rPr>
        <w:t xml:space="preserve">Gentlemen, the people pressing this irrigation scheme have never wintered cattle on this range. The grass of the high plains cures on the stem and feeds stock through the winter. Grazing is the best use this country has, and plowing it under will not improve it. My appropriation from the creek dates from the year I came, and our law says the first user holds the first right. If the government builds a dam upstream and puts settlers on every bottomland, the creek that waters my stock and the hay meadows below me will be dry by August, and the open range will be cut up by fences. I do not object to a man farming where the water already lets him. I object to the nation spending its money to put farms where grazing serves better, and to settling the water question in Washington instead of under our own state law.</w:t>
      </w:r>
    </w:p>
    <w:p>
      <w:pPr>
        <w:spacing w:after="160" w:before="0"/>
      </w:pPr>
    </w:p>
    <w:p>
      <w:pPr>
        <w:keepNext/>
        <w:keepLines/>
        <w:spacing w:after="120" w:line="276"/>
      </w:pPr>
      <w:r>
        <w:rPr>
          <w:b/>
          <w:bCs/>
          <w:sz w:val="22"/>
          <w:szCs w:val="22"/>
        </w:rPr>
        <w:t xml:space="preserve">Timeline: federal land and water policy in the arid West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9327"/>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93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Event</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1862</w:t>
            </w:r>
          </w:p>
        </w:tc>
        <w:tc>
          <w:tcPr>
            <w:tcW w:type="dxa" w:w="9327"/>
            <w:tcMar>
              <w:top w:type="dxa" w:w="70"/>
              <w:left w:type="dxa" w:w="100"/>
              <w:bottom w:type="dxa" w:w="70"/>
              <w:right w:type="dxa" w:w="100"/>
            </w:tcMar>
            <w:vAlign w:val="top"/>
          </w:tcPr>
          <w:p>
            <w:pPr>
              <w:spacing w:after="0" w:line="252"/>
              <w:jc w:val="left"/>
            </w:pPr>
            <w:r>
              <w:rPr>
                <w:sz w:val="22"/>
                <w:szCs w:val="22"/>
              </w:rPr>
              <w:t xml:space="preserve">The Homestead Act allows settlers to claim public land by living on it and improving it. In the dry West, many homestead claims fail because the land cannot be farmed without irrigation.</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1877</w:t>
            </w:r>
          </w:p>
        </w:tc>
        <w:tc>
          <w:tcPr>
            <w:tcW w:type="dxa" w:w="9327"/>
            <w:tcMar>
              <w:top w:type="dxa" w:w="70"/>
              <w:left w:type="dxa" w:w="100"/>
              <w:bottom w:type="dxa" w:w="70"/>
              <w:right w:type="dxa" w:w="100"/>
            </w:tcMar>
            <w:vAlign w:val="top"/>
          </w:tcPr>
          <w:p>
            <w:pPr>
              <w:spacing w:after="0" w:line="252"/>
              <w:jc w:val="left"/>
            </w:pPr>
            <w:r>
              <w:rPr>
                <w:sz w:val="22"/>
                <w:szCs w:val="22"/>
              </w:rPr>
              <w:t xml:space="preserve">The Desert Land Act lets settlers in arid areas buy larger tracts of public land at a low price if they bring water to the land within a set number of years. Many claims are never irrigated, and some are used to gain control of streams for grazing.</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1878</w:t>
            </w:r>
          </w:p>
        </w:tc>
        <w:tc>
          <w:tcPr>
            <w:tcW w:type="dxa" w:w="9327"/>
            <w:tcMar>
              <w:top w:type="dxa" w:w="70"/>
              <w:left w:type="dxa" w:w="100"/>
              <w:bottom w:type="dxa" w:w="70"/>
              <w:right w:type="dxa" w:w="100"/>
            </w:tcMar>
            <w:vAlign w:val="top"/>
          </w:tcPr>
          <w:p>
            <w:pPr>
              <w:spacing w:after="0" w:line="252"/>
              <w:jc w:val="left"/>
            </w:pPr>
            <w:r>
              <w:rPr>
                <w:sz w:val="22"/>
                <w:szCs w:val="22"/>
              </w:rPr>
              <w:t xml:space="preserve">John Wesley Powell's </w:t>
            </w:r>
            <w:r>
              <w:rPr>
                <w:i/>
                <w:iCs/>
                <w:sz w:val="22"/>
                <w:szCs w:val="22"/>
              </w:rPr>
              <w:t xml:space="preserve">Report on the Lands of the Arid Region of the United States</w:t>
            </w:r>
            <w:r>
              <w:rPr>
                <w:sz w:val="22"/>
                <w:szCs w:val="22"/>
              </w:rPr>
              <w:t xml:space="preserve"> argues that only a small share of the arid West can be irrigated and that settlement should be organized around available water.</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1891</w:t>
            </w:r>
          </w:p>
        </w:tc>
        <w:tc>
          <w:tcPr>
            <w:tcW w:type="dxa" w:w="9327"/>
            <w:tcMar>
              <w:top w:type="dxa" w:w="70"/>
              <w:left w:type="dxa" w:w="100"/>
              <w:bottom w:type="dxa" w:w="70"/>
              <w:right w:type="dxa" w:w="100"/>
            </w:tcMar>
            <w:vAlign w:val="top"/>
          </w:tcPr>
          <w:p>
            <w:pPr>
              <w:spacing w:after="0" w:line="252"/>
              <w:jc w:val="left"/>
            </w:pPr>
            <w:r>
              <w:rPr>
                <w:sz w:val="22"/>
                <w:szCs w:val="22"/>
              </w:rPr>
              <w:t xml:space="preserve">The first National Irrigation Congress meets in Salt Lake City. Western business leaders and boosters begin a campaign for public support of irrigation.</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1894</w:t>
            </w:r>
          </w:p>
        </w:tc>
        <w:tc>
          <w:tcPr>
            <w:tcW w:type="dxa" w:w="9327"/>
            <w:tcMar>
              <w:top w:type="dxa" w:w="70"/>
              <w:left w:type="dxa" w:w="100"/>
              <w:bottom w:type="dxa" w:w="70"/>
              <w:right w:type="dxa" w:w="100"/>
            </w:tcMar>
            <w:vAlign w:val="top"/>
          </w:tcPr>
          <w:p>
            <w:pPr>
              <w:spacing w:after="0" w:line="252"/>
              <w:jc w:val="left"/>
            </w:pPr>
            <w:r>
              <w:rPr>
                <w:sz w:val="22"/>
                <w:szCs w:val="22"/>
              </w:rPr>
              <w:t xml:space="preserve">The Carey Act offers each arid state federal land if the state arranges for it to be irrigated and settled, usually through private companies. Little land is reclaimed under the act, and many of the private companies fail for lack of money, especially after the economic depression that began in 1893.</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1901</w:t>
            </w:r>
          </w:p>
        </w:tc>
        <w:tc>
          <w:tcPr>
            <w:tcW w:type="dxa" w:w="9327"/>
            <w:tcMar>
              <w:top w:type="dxa" w:w="70"/>
              <w:left w:type="dxa" w:w="100"/>
              <w:bottom w:type="dxa" w:w="70"/>
              <w:right w:type="dxa" w:w="100"/>
            </w:tcMar>
            <w:vAlign w:val="top"/>
          </w:tcPr>
          <w:p>
            <w:pPr>
              <w:spacing w:after="0" w:line="252"/>
              <w:jc w:val="left"/>
            </w:pPr>
            <w:r>
              <w:rPr>
                <w:sz w:val="22"/>
                <w:szCs w:val="22"/>
              </w:rPr>
              <w:t xml:space="preserve">In his first annual message to Congress in December, President Theodore Roosevelt says that large storage works are too great for private effort and should be built by the national government.</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1902</w:t>
            </w:r>
          </w:p>
        </w:tc>
        <w:tc>
          <w:tcPr>
            <w:tcW w:type="dxa" w:w="9327"/>
            <w:tcMar>
              <w:top w:type="dxa" w:w="70"/>
              <w:left w:type="dxa" w:w="100"/>
              <w:bottom w:type="dxa" w:w="70"/>
              <w:right w:type="dxa" w:w="100"/>
            </w:tcMar>
            <w:vAlign w:val="top"/>
          </w:tcPr>
          <w:p>
            <w:pPr>
              <w:spacing w:after="0" w:line="252"/>
              <w:jc w:val="left"/>
            </w:pPr>
            <w:r>
              <w:rPr>
                <w:sz w:val="22"/>
                <w:szCs w:val="22"/>
              </w:rPr>
              <w:t xml:space="preserve">On June 17, Roosevelt signs the Reclamation Act, also called the Newlands Act. Money from sales of public land in the western states and territories goes into a reclamation fund. Settlers are to repay construction costs over a period of years without interest. The act limits how much land one owner may irrigate with project water and requires owners to live on or near the land. The Reclamation Service is created within the U.S. Geological Survey.</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1903</w:t>
            </w:r>
          </w:p>
        </w:tc>
        <w:tc>
          <w:tcPr>
            <w:tcW w:type="dxa" w:w="9327"/>
            <w:tcMar>
              <w:top w:type="dxa" w:w="70"/>
              <w:left w:type="dxa" w:w="100"/>
              <w:bottom w:type="dxa" w:w="70"/>
              <w:right w:type="dxa" w:w="100"/>
            </w:tcMar>
            <w:vAlign w:val="top"/>
          </w:tcPr>
          <w:p>
            <w:pPr>
              <w:spacing w:after="0" w:line="252"/>
              <w:jc w:val="left"/>
            </w:pPr>
            <w:r>
              <w:rPr>
                <w:sz w:val="22"/>
                <w:szCs w:val="22"/>
              </w:rPr>
              <w:t xml:space="preserve">The first projects are authorized, including the Salt River Project in Arizona Territory and a project on the Truckee and Carson rivers in Nevada.</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1905</w:t>
            </w:r>
          </w:p>
        </w:tc>
        <w:tc>
          <w:tcPr>
            <w:tcW w:type="dxa" w:w="9327"/>
            <w:tcMar>
              <w:top w:type="dxa" w:w="70"/>
              <w:left w:type="dxa" w:w="100"/>
              <w:bottom w:type="dxa" w:w="70"/>
              <w:right w:type="dxa" w:w="100"/>
            </w:tcMar>
            <w:vAlign w:val="top"/>
          </w:tcPr>
          <w:p>
            <w:pPr>
              <w:spacing w:after="0" w:line="252"/>
              <w:jc w:val="left"/>
            </w:pPr>
            <w:r>
              <w:rPr>
                <w:sz w:val="22"/>
                <w:szCs w:val="22"/>
              </w:rPr>
              <w:t xml:space="preserve">Derby Dam begins diverting Truckee River water to the Nevada project. Less water reaches Pyramid Lake, downstream on the Pyramid Lake Paiute Reservation, and the lake begins to fall.</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1907</w:t>
            </w:r>
          </w:p>
        </w:tc>
        <w:tc>
          <w:tcPr>
            <w:tcW w:type="dxa" w:w="9327"/>
            <w:tcMar>
              <w:top w:type="dxa" w:w="70"/>
              <w:left w:type="dxa" w:w="100"/>
              <w:bottom w:type="dxa" w:w="70"/>
              <w:right w:type="dxa" w:w="100"/>
            </w:tcMar>
            <w:vAlign w:val="top"/>
          </w:tcPr>
          <w:p>
            <w:pPr>
              <w:spacing w:after="0" w:line="252"/>
              <w:jc w:val="left"/>
            </w:pPr>
            <w:r>
              <w:rPr>
                <w:sz w:val="22"/>
                <w:szCs w:val="22"/>
              </w:rPr>
              <w:t xml:space="preserve">The Reclamation Service becomes a separate bureau within the Department of the Interior.</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1908</w:t>
            </w:r>
          </w:p>
        </w:tc>
        <w:tc>
          <w:tcPr>
            <w:tcW w:type="dxa" w:w="9327"/>
            <w:tcMar>
              <w:top w:type="dxa" w:w="70"/>
              <w:left w:type="dxa" w:w="100"/>
              <w:bottom w:type="dxa" w:w="70"/>
              <w:right w:type="dxa" w:w="100"/>
            </w:tcMar>
            <w:vAlign w:val="top"/>
          </w:tcPr>
          <w:p>
            <w:pPr>
              <w:spacing w:after="0" w:line="252"/>
              <w:jc w:val="left"/>
            </w:pPr>
            <w:r>
              <w:rPr>
                <w:sz w:val="22"/>
                <w:szCs w:val="22"/>
              </w:rPr>
              <w:t xml:space="preserve">In </w:t>
            </w:r>
            <w:r>
              <w:rPr>
                <w:i/>
                <w:iCs/>
                <w:sz w:val="22"/>
                <w:szCs w:val="22"/>
              </w:rPr>
              <w:t xml:space="preserve">Winters v. United States</w:t>
            </w:r>
            <w:r>
              <w:rPr>
                <w:sz w:val="22"/>
                <w:szCs w:val="22"/>
              </w:rPr>
              <w:t xml:space="preserve">, the Supreme Court rules that when the government created the Fort Belknap Reservation in Montana, it reserved enough water for the reservation's needs, even though the agreement did not say so.</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1911</w:t>
            </w:r>
          </w:p>
        </w:tc>
        <w:tc>
          <w:tcPr>
            <w:tcW w:type="dxa" w:w="9327"/>
            <w:tcMar>
              <w:top w:type="dxa" w:w="70"/>
              <w:left w:type="dxa" w:w="100"/>
              <w:bottom w:type="dxa" w:w="70"/>
              <w:right w:type="dxa" w:w="100"/>
            </w:tcMar>
            <w:vAlign w:val="top"/>
          </w:tcPr>
          <w:p>
            <w:pPr>
              <w:spacing w:after="0" w:line="252"/>
              <w:jc w:val="left"/>
            </w:pPr>
            <w:r>
              <w:rPr>
                <w:sz w:val="22"/>
                <w:szCs w:val="22"/>
              </w:rPr>
              <w:t xml:space="preserve">Roosevelt Dam on the Salt River in Arizona Territory is completed.</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1914</w:t>
            </w:r>
          </w:p>
        </w:tc>
        <w:tc>
          <w:tcPr>
            <w:tcW w:type="dxa" w:w="9327"/>
            <w:tcMar>
              <w:top w:type="dxa" w:w="70"/>
              <w:left w:type="dxa" w:w="100"/>
              <w:bottom w:type="dxa" w:w="70"/>
              <w:right w:type="dxa" w:w="100"/>
            </w:tcMar>
            <w:vAlign w:val="top"/>
          </w:tcPr>
          <w:p>
            <w:pPr>
              <w:spacing w:after="0" w:line="252"/>
              <w:jc w:val="left"/>
            </w:pPr>
            <w:r>
              <w:rPr>
                <w:sz w:val="22"/>
                <w:szCs w:val="22"/>
              </w:rPr>
              <w:t xml:space="preserve">The Reclamation Extension Act lengthens the repayment period because many settlers on federal projects cannot pay their construction charges on schedule.</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1923</w:t>
            </w:r>
          </w:p>
        </w:tc>
        <w:tc>
          <w:tcPr>
            <w:tcW w:type="dxa" w:w="9327"/>
            <w:tcMar>
              <w:top w:type="dxa" w:w="70"/>
              <w:left w:type="dxa" w:w="100"/>
              <w:bottom w:type="dxa" w:w="70"/>
              <w:right w:type="dxa" w:w="100"/>
            </w:tcMar>
            <w:vAlign w:val="top"/>
          </w:tcPr>
          <w:p>
            <w:pPr>
              <w:spacing w:after="0" w:line="252"/>
              <w:jc w:val="left"/>
            </w:pPr>
            <w:r>
              <w:rPr>
                <w:sz w:val="22"/>
                <w:szCs w:val="22"/>
              </w:rPr>
              <w:t xml:space="preserve">The Reclamation Service is renamed the Bureau of Reclamation.</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Sourcing chart.</w:t>
      </w:r>
      <w:r>
        <w:rPr>
          <w:sz w:val="22"/>
          <w:szCs w:val="22"/>
        </w:rPr>
        <w:t xml:space="preserve"> Copy this chart onto your paper with one row for each document, A through E. Fill in every column for each row.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57"/>
        <w:gridCol w:w="2566"/>
        <w:gridCol w:w="2555"/>
        <w:gridCol w:w="2623"/>
        <w:gridCol w:w="1459"/>
        <w:gridCol w:w="3320"/>
      </w:tblGrid>
      <w:tr>
        <w:trPr>
          <w:cantSplit/>
          <w:tblHeader/>
        </w:trPr>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Document</w:t>
            </w:r>
          </w:p>
        </w:tc>
        <w:tc>
          <w:tcPr>
            <w:tcW w:type="dxa" w:w="25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Author and audience</w:t>
            </w:r>
          </w:p>
        </w:tc>
        <w:tc>
          <w:tcPr>
            <w:tcW w:type="dxa" w:w="25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Purpose</w:t>
            </w:r>
          </w:p>
        </w:tc>
        <w:tc>
          <w:tcPr>
            <w:tcW w:type="dxa" w:w="26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Point of view</w:t>
            </w:r>
          </w:p>
        </w:tc>
        <w:tc>
          <w:tcPr>
            <w:tcW w:type="dxa" w:w="14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Context (timeline entry)</w:t>
            </w:r>
          </w:p>
        </w:tc>
        <w:tc>
          <w:tcPr>
            <w:tcW w:type="dxa" w:w="33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Claim to corroborate</w:t>
            </w:r>
          </w:p>
        </w:tc>
      </w:tr>
      <w:tr>
        <w:trPr>
          <w:cantSplit/>
          <w:trHeight w:val="1440" w:hRule="atLeast"/>
        </w:trPr>
        <w:tc>
          <w:tcPr>
            <w:tcW w:type="dxa" w:w="1157"/>
            <w:tcMar>
              <w:top w:type="dxa" w:w="70"/>
              <w:left w:type="dxa" w:w="100"/>
              <w:bottom w:type="dxa" w:w="70"/>
              <w:right w:type="dxa" w:w="100"/>
            </w:tcMar>
            <w:vAlign w:val="top"/>
          </w:tcPr>
          <w:p>
            <w:pPr>
              <w:spacing w:after="0" w:line="252"/>
              <w:jc w:val="left"/>
            </w:pPr>
            <w:r>
              <w:rPr>
                <w:sz w:val="20"/>
                <w:szCs w:val="20"/>
              </w:rPr>
              <w:t xml:space="preserve">A</w:t>
            </w:r>
          </w:p>
        </w:tc>
        <w:tc>
          <w:tcPr>
            <w:tcW w:type="dxa" w:w="2566"/>
            <w:tcMar>
              <w:top w:type="dxa" w:w="70"/>
              <w:left w:type="dxa" w:w="100"/>
              <w:bottom w:type="dxa" w:w="70"/>
              <w:right w:type="dxa" w:w="100"/>
            </w:tcMar>
            <w:vAlign w:val="top"/>
          </w:tcPr>
          <w:p>
            <w:pPr>
              <w:spacing w:after="0" w:line="252"/>
              <w:jc w:val="left"/>
            </w:pPr>
          </w:p>
        </w:tc>
        <w:tc>
          <w:tcPr>
            <w:tcW w:type="dxa" w:w="2555"/>
            <w:tcMar>
              <w:top w:type="dxa" w:w="70"/>
              <w:left w:type="dxa" w:w="100"/>
              <w:bottom w:type="dxa" w:w="70"/>
              <w:right w:type="dxa" w:w="100"/>
            </w:tcMar>
            <w:vAlign w:val="top"/>
          </w:tcPr>
          <w:p>
            <w:pPr>
              <w:spacing w:after="0" w:line="252"/>
              <w:jc w:val="left"/>
            </w:pPr>
          </w:p>
        </w:tc>
        <w:tc>
          <w:tcPr>
            <w:tcW w:type="dxa" w:w="2623"/>
            <w:tcMar>
              <w:top w:type="dxa" w:w="70"/>
              <w:left w:type="dxa" w:w="100"/>
              <w:bottom w:type="dxa" w:w="70"/>
              <w:right w:type="dxa" w:w="100"/>
            </w:tcMar>
            <w:vAlign w:val="top"/>
          </w:tcPr>
          <w:p>
            <w:pPr>
              <w:spacing w:after="0" w:line="252"/>
              <w:jc w:val="left"/>
            </w:pPr>
          </w:p>
        </w:tc>
        <w:tc>
          <w:tcPr>
            <w:tcW w:type="dxa" w:w="1459"/>
            <w:tcMar>
              <w:top w:type="dxa" w:w="70"/>
              <w:left w:type="dxa" w:w="100"/>
              <w:bottom w:type="dxa" w:w="70"/>
              <w:right w:type="dxa" w:w="100"/>
            </w:tcMar>
            <w:vAlign w:val="top"/>
          </w:tcPr>
          <w:p>
            <w:pPr>
              <w:spacing w:after="0" w:line="252"/>
              <w:jc w:val="left"/>
            </w:pPr>
          </w:p>
        </w:tc>
        <w:tc>
          <w:tcPr>
            <w:tcW w:type="dxa" w:w="3320"/>
            <w:tcMar>
              <w:top w:type="dxa" w:w="70"/>
              <w:left w:type="dxa" w:w="100"/>
              <w:bottom w:type="dxa" w:w="70"/>
              <w:right w:type="dxa" w:w="100"/>
            </w:tcMar>
            <w:vAlign w:val="top"/>
          </w:tcPr>
          <w:p>
            <w:pPr>
              <w:spacing w:after="0" w:line="252"/>
              <w:jc w:val="left"/>
            </w:pPr>
          </w:p>
        </w:tc>
      </w:tr>
      <w:tr>
        <w:trPr>
          <w:cantSplit/>
          <w:trHeight w:val="1440" w:hRule="atLeast"/>
        </w:trPr>
        <w:tc>
          <w:tcPr>
            <w:tcW w:type="dxa" w:w="1157"/>
            <w:tcMar>
              <w:top w:type="dxa" w:w="70"/>
              <w:left w:type="dxa" w:w="100"/>
              <w:bottom w:type="dxa" w:w="70"/>
              <w:right w:type="dxa" w:w="100"/>
            </w:tcMar>
            <w:vAlign w:val="top"/>
          </w:tcPr>
          <w:p>
            <w:pPr>
              <w:spacing w:after="0" w:line="252"/>
              <w:jc w:val="left"/>
            </w:pPr>
            <w:r>
              <w:rPr>
                <w:sz w:val="20"/>
                <w:szCs w:val="20"/>
              </w:rPr>
              <w:t xml:space="preserve">B</w:t>
            </w:r>
          </w:p>
        </w:tc>
        <w:tc>
          <w:tcPr>
            <w:tcW w:type="dxa" w:w="2566"/>
            <w:tcMar>
              <w:top w:type="dxa" w:w="70"/>
              <w:left w:type="dxa" w:w="100"/>
              <w:bottom w:type="dxa" w:w="70"/>
              <w:right w:type="dxa" w:w="100"/>
            </w:tcMar>
            <w:vAlign w:val="top"/>
          </w:tcPr>
          <w:p>
            <w:pPr>
              <w:spacing w:after="0" w:line="252"/>
              <w:jc w:val="left"/>
            </w:pPr>
          </w:p>
        </w:tc>
        <w:tc>
          <w:tcPr>
            <w:tcW w:type="dxa" w:w="2555"/>
            <w:tcMar>
              <w:top w:type="dxa" w:w="70"/>
              <w:left w:type="dxa" w:w="100"/>
              <w:bottom w:type="dxa" w:w="70"/>
              <w:right w:type="dxa" w:w="100"/>
            </w:tcMar>
            <w:vAlign w:val="top"/>
          </w:tcPr>
          <w:p>
            <w:pPr>
              <w:spacing w:after="0" w:line="252"/>
              <w:jc w:val="left"/>
            </w:pPr>
          </w:p>
        </w:tc>
        <w:tc>
          <w:tcPr>
            <w:tcW w:type="dxa" w:w="2623"/>
            <w:tcMar>
              <w:top w:type="dxa" w:w="70"/>
              <w:left w:type="dxa" w:w="100"/>
              <w:bottom w:type="dxa" w:w="70"/>
              <w:right w:type="dxa" w:w="100"/>
            </w:tcMar>
            <w:vAlign w:val="top"/>
          </w:tcPr>
          <w:p>
            <w:pPr>
              <w:spacing w:after="0" w:line="252"/>
              <w:jc w:val="left"/>
            </w:pPr>
          </w:p>
        </w:tc>
        <w:tc>
          <w:tcPr>
            <w:tcW w:type="dxa" w:w="1459"/>
            <w:tcMar>
              <w:top w:type="dxa" w:w="70"/>
              <w:left w:type="dxa" w:w="100"/>
              <w:bottom w:type="dxa" w:w="70"/>
              <w:right w:type="dxa" w:w="100"/>
            </w:tcMar>
            <w:vAlign w:val="top"/>
          </w:tcPr>
          <w:p>
            <w:pPr>
              <w:spacing w:after="0" w:line="252"/>
              <w:jc w:val="left"/>
            </w:pPr>
          </w:p>
        </w:tc>
        <w:tc>
          <w:tcPr>
            <w:tcW w:type="dxa" w:w="3320"/>
            <w:tcMar>
              <w:top w:type="dxa" w:w="70"/>
              <w:left w:type="dxa" w:w="100"/>
              <w:bottom w:type="dxa" w:w="70"/>
              <w:right w:type="dxa" w:w="100"/>
            </w:tcMar>
            <w:vAlign w:val="top"/>
          </w:tcPr>
          <w:p>
            <w:pPr>
              <w:spacing w:after="0" w:line="252"/>
              <w:jc w:val="left"/>
            </w:pPr>
          </w:p>
        </w:tc>
      </w:tr>
      <w:tr>
        <w:trPr>
          <w:cantSplit/>
          <w:trHeight w:val="1440" w:hRule="atLeast"/>
        </w:trPr>
        <w:tc>
          <w:tcPr>
            <w:tcW w:type="dxa" w:w="1157"/>
            <w:tcMar>
              <w:top w:type="dxa" w:w="70"/>
              <w:left w:type="dxa" w:w="100"/>
              <w:bottom w:type="dxa" w:w="70"/>
              <w:right w:type="dxa" w:w="100"/>
            </w:tcMar>
            <w:vAlign w:val="top"/>
          </w:tcPr>
          <w:p>
            <w:pPr>
              <w:spacing w:after="0" w:line="252"/>
              <w:jc w:val="left"/>
            </w:pPr>
            <w:r>
              <w:rPr>
                <w:sz w:val="20"/>
                <w:szCs w:val="20"/>
              </w:rPr>
              <w:t xml:space="preserve">C</w:t>
            </w:r>
          </w:p>
        </w:tc>
        <w:tc>
          <w:tcPr>
            <w:tcW w:type="dxa" w:w="2566"/>
            <w:tcMar>
              <w:top w:type="dxa" w:w="70"/>
              <w:left w:type="dxa" w:w="100"/>
              <w:bottom w:type="dxa" w:w="70"/>
              <w:right w:type="dxa" w:w="100"/>
            </w:tcMar>
            <w:vAlign w:val="top"/>
          </w:tcPr>
          <w:p>
            <w:pPr>
              <w:spacing w:after="0" w:line="252"/>
              <w:jc w:val="left"/>
            </w:pPr>
          </w:p>
        </w:tc>
        <w:tc>
          <w:tcPr>
            <w:tcW w:type="dxa" w:w="2555"/>
            <w:tcMar>
              <w:top w:type="dxa" w:w="70"/>
              <w:left w:type="dxa" w:w="100"/>
              <w:bottom w:type="dxa" w:w="70"/>
              <w:right w:type="dxa" w:w="100"/>
            </w:tcMar>
            <w:vAlign w:val="top"/>
          </w:tcPr>
          <w:p>
            <w:pPr>
              <w:spacing w:after="0" w:line="252"/>
              <w:jc w:val="left"/>
            </w:pPr>
          </w:p>
        </w:tc>
        <w:tc>
          <w:tcPr>
            <w:tcW w:type="dxa" w:w="2623"/>
            <w:tcMar>
              <w:top w:type="dxa" w:w="70"/>
              <w:left w:type="dxa" w:w="100"/>
              <w:bottom w:type="dxa" w:w="70"/>
              <w:right w:type="dxa" w:w="100"/>
            </w:tcMar>
            <w:vAlign w:val="top"/>
          </w:tcPr>
          <w:p>
            <w:pPr>
              <w:spacing w:after="0" w:line="252"/>
              <w:jc w:val="left"/>
            </w:pPr>
          </w:p>
        </w:tc>
        <w:tc>
          <w:tcPr>
            <w:tcW w:type="dxa" w:w="1459"/>
            <w:tcMar>
              <w:top w:type="dxa" w:w="70"/>
              <w:left w:type="dxa" w:w="100"/>
              <w:bottom w:type="dxa" w:w="70"/>
              <w:right w:type="dxa" w:w="100"/>
            </w:tcMar>
            <w:vAlign w:val="top"/>
          </w:tcPr>
          <w:p>
            <w:pPr>
              <w:spacing w:after="0" w:line="252"/>
              <w:jc w:val="left"/>
            </w:pPr>
          </w:p>
        </w:tc>
        <w:tc>
          <w:tcPr>
            <w:tcW w:type="dxa" w:w="3320"/>
            <w:tcMar>
              <w:top w:type="dxa" w:w="70"/>
              <w:left w:type="dxa" w:w="100"/>
              <w:bottom w:type="dxa" w:w="70"/>
              <w:right w:type="dxa" w:w="100"/>
            </w:tcMar>
            <w:vAlign w:val="top"/>
          </w:tcPr>
          <w:p>
            <w:pPr>
              <w:spacing w:after="0" w:line="252"/>
              <w:jc w:val="left"/>
            </w:pPr>
          </w:p>
        </w:tc>
      </w:tr>
      <w:tr>
        <w:trPr>
          <w:cantSplit/>
          <w:trHeight w:val="1440" w:hRule="atLeast"/>
        </w:trPr>
        <w:tc>
          <w:tcPr>
            <w:tcW w:type="dxa" w:w="1157"/>
            <w:tcMar>
              <w:top w:type="dxa" w:w="70"/>
              <w:left w:type="dxa" w:w="100"/>
              <w:bottom w:type="dxa" w:w="70"/>
              <w:right w:type="dxa" w:w="100"/>
            </w:tcMar>
            <w:vAlign w:val="top"/>
          </w:tcPr>
          <w:p>
            <w:pPr>
              <w:spacing w:after="0" w:line="252"/>
              <w:jc w:val="left"/>
            </w:pPr>
            <w:r>
              <w:rPr>
                <w:sz w:val="20"/>
                <w:szCs w:val="20"/>
              </w:rPr>
              <w:t xml:space="preserve">D</w:t>
            </w:r>
          </w:p>
        </w:tc>
        <w:tc>
          <w:tcPr>
            <w:tcW w:type="dxa" w:w="2566"/>
            <w:tcMar>
              <w:top w:type="dxa" w:w="70"/>
              <w:left w:type="dxa" w:w="100"/>
              <w:bottom w:type="dxa" w:w="70"/>
              <w:right w:type="dxa" w:w="100"/>
            </w:tcMar>
            <w:vAlign w:val="top"/>
          </w:tcPr>
          <w:p>
            <w:pPr>
              <w:spacing w:after="0" w:line="252"/>
              <w:jc w:val="left"/>
            </w:pPr>
          </w:p>
        </w:tc>
        <w:tc>
          <w:tcPr>
            <w:tcW w:type="dxa" w:w="2555"/>
            <w:tcMar>
              <w:top w:type="dxa" w:w="70"/>
              <w:left w:type="dxa" w:w="100"/>
              <w:bottom w:type="dxa" w:w="70"/>
              <w:right w:type="dxa" w:w="100"/>
            </w:tcMar>
            <w:vAlign w:val="top"/>
          </w:tcPr>
          <w:p>
            <w:pPr>
              <w:spacing w:after="0" w:line="252"/>
              <w:jc w:val="left"/>
            </w:pPr>
          </w:p>
        </w:tc>
        <w:tc>
          <w:tcPr>
            <w:tcW w:type="dxa" w:w="2623"/>
            <w:tcMar>
              <w:top w:type="dxa" w:w="70"/>
              <w:left w:type="dxa" w:w="100"/>
              <w:bottom w:type="dxa" w:w="70"/>
              <w:right w:type="dxa" w:w="100"/>
            </w:tcMar>
            <w:vAlign w:val="top"/>
          </w:tcPr>
          <w:p>
            <w:pPr>
              <w:spacing w:after="0" w:line="252"/>
              <w:jc w:val="left"/>
            </w:pPr>
          </w:p>
        </w:tc>
        <w:tc>
          <w:tcPr>
            <w:tcW w:type="dxa" w:w="1459"/>
            <w:tcMar>
              <w:top w:type="dxa" w:w="70"/>
              <w:left w:type="dxa" w:w="100"/>
              <w:bottom w:type="dxa" w:w="70"/>
              <w:right w:type="dxa" w:w="100"/>
            </w:tcMar>
            <w:vAlign w:val="top"/>
          </w:tcPr>
          <w:p>
            <w:pPr>
              <w:spacing w:after="0" w:line="252"/>
              <w:jc w:val="left"/>
            </w:pPr>
          </w:p>
        </w:tc>
        <w:tc>
          <w:tcPr>
            <w:tcW w:type="dxa" w:w="3320"/>
            <w:tcMar>
              <w:top w:type="dxa" w:w="70"/>
              <w:left w:type="dxa" w:w="100"/>
              <w:bottom w:type="dxa" w:w="70"/>
              <w:right w:type="dxa" w:w="100"/>
            </w:tcMar>
            <w:vAlign w:val="top"/>
          </w:tcPr>
          <w:p>
            <w:pPr>
              <w:spacing w:after="0" w:line="252"/>
              <w:jc w:val="left"/>
            </w:pPr>
          </w:p>
        </w:tc>
      </w:tr>
      <w:tr>
        <w:trPr>
          <w:cantSplit/>
          <w:trHeight w:val="1440" w:hRule="atLeast"/>
        </w:trPr>
        <w:tc>
          <w:tcPr>
            <w:tcW w:type="dxa" w:w="1157"/>
            <w:tcMar>
              <w:top w:type="dxa" w:w="70"/>
              <w:left w:type="dxa" w:w="100"/>
              <w:bottom w:type="dxa" w:w="70"/>
              <w:right w:type="dxa" w:w="100"/>
            </w:tcMar>
            <w:vAlign w:val="top"/>
          </w:tcPr>
          <w:p>
            <w:pPr>
              <w:spacing w:after="0" w:line="252"/>
              <w:jc w:val="left"/>
            </w:pPr>
            <w:r>
              <w:rPr>
                <w:sz w:val="20"/>
                <w:szCs w:val="20"/>
              </w:rPr>
              <w:t xml:space="preserve">E</w:t>
            </w:r>
          </w:p>
        </w:tc>
        <w:tc>
          <w:tcPr>
            <w:tcW w:type="dxa" w:w="2566"/>
            <w:tcMar>
              <w:top w:type="dxa" w:w="70"/>
              <w:left w:type="dxa" w:w="100"/>
              <w:bottom w:type="dxa" w:w="70"/>
              <w:right w:type="dxa" w:w="100"/>
            </w:tcMar>
            <w:vAlign w:val="top"/>
          </w:tcPr>
          <w:p>
            <w:pPr>
              <w:spacing w:after="0" w:line="252"/>
              <w:jc w:val="left"/>
            </w:pPr>
          </w:p>
        </w:tc>
        <w:tc>
          <w:tcPr>
            <w:tcW w:type="dxa" w:w="2555"/>
            <w:tcMar>
              <w:top w:type="dxa" w:w="70"/>
              <w:left w:type="dxa" w:w="100"/>
              <w:bottom w:type="dxa" w:w="70"/>
              <w:right w:type="dxa" w:w="100"/>
            </w:tcMar>
            <w:vAlign w:val="top"/>
          </w:tcPr>
          <w:p>
            <w:pPr>
              <w:spacing w:after="0" w:line="252"/>
              <w:jc w:val="left"/>
            </w:pPr>
          </w:p>
        </w:tc>
        <w:tc>
          <w:tcPr>
            <w:tcW w:type="dxa" w:w="2623"/>
            <w:tcMar>
              <w:top w:type="dxa" w:w="70"/>
              <w:left w:type="dxa" w:w="100"/>
              <w:bottom w:type="dxa" w:w="70"/>
              <w:right w:type="dxa" w:w="100"/>
            </w:tcMar>
            <w:vAlign w:val="top"/>
          </w:tcPr>
          <w:p>
            <w:pPr>
              <w:spacing w:after="0" w:line="252"/>
              <w:jc w:val="left"/>
            </w:pPr>
          </w:p>
        </w:tc>
        <w:tc>
          <w:tcPr>
            <w:tcW w:type="dxa" w:w="1459"/>
            <w:tcMar>
              <w:top w:type="dxa" w:w="70"/>
              <w:left w:type="dxa" w:w="100"/>
              <w:bottom w:type="dxa" w:w="70"/>
              <w:right w:type="dxa" w:w="100"/>
            </w:tcMar>
            <w:vAlign w:val="top"/>
          </w:tcPr>
          <w:p>
            <w:pPr>
              <w:spacing w:after="0" w:line="252"/>
              <w:jc w:val="left"/>
            </w:pPr>
          </w:p>
        </w:tc>
        <w:tc>
          <w:tcPr>
            <w:tcW w:type="dxa" w:w="332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Complete the sourcing chart row for Document A, the homesteader. Then name one claim in the letter that a historian should check, and name the document you would check it against.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Complete the sourcing chart row for Document B, the member of Congress. Which timeline entries support his worry about repayment, and which entry shows where the money was supposed to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Complete the sourcing chart row for Document C, the engineer. Which earlier timeline entry agrees with his warning that only part of the arid land can be irrigated? Which part of his report should be tested against what happened after 1902?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Complete the sourcing chart row for Document D, the railroad land agent. How does the railroad's business explain the pamphlet's tone? Which timeline entry calls into question the promise that land "can only rise in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Complete the sourcing chart row for Document E, the rancher. What does he mean by "my appropriation from the creek," and which timeline entry shows that his worry about downstream water was realistic somewhere in the 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Corroboration. Find one claim that Documents A and C both make about stored water. Explain why agreement between these two writers carries more weight than either document alone, given that their purposes are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Corroboration. Find a point on which Document E directly disagrees with Document A. State each writer's position and explain how each writer's economic interest helps account for the disagreement.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Documents A, B, and C and the timeline entries for 1877, 1894, 1901, and 1902, explain what responsibility the Reclamation Act moved to the federal government and why its supporters argued that private and state efforts were not enough. Who was supposed to pay for the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groups affected by reclamation do not speak in any of the five documents? Support your answer with the timeline entries for 1905 and 1908 and with one clue from Document D or Document 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1902 Reclamation Act: A Grade 11 Document-Based Inquiry</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Sourcing Document A:</w:t>
      </w:r>
      <w:r>
        <w:rPr>
          <w:sz w:val="22"/>
          <w:szCs w:val="22"/>
        </w:rPr>
        <w:t xml:space="preserve"> A settler with a direct economic stake writes to newspaper readers, and through them to lawmakers, to persuade them that federal help is deserved; the point of view is hopeful and self-interested. Context: the 1862 entry (homesteads failing without irrigation) and the 1894 entry (private companies failing) explain the request, and the letter's own mention of two failed companies fits the pattern of private failure that the 1894 entry describes. The claim that stored water would "make the desert bloom" should be checked against the engineer's (Document C) and rancher's (Document E) more cautious statements, and against the 1914 entry.</w:t>
      </w:r>
    </w:p>
    <w:p>
      <w:pPr>
        <w:pStyle w:val="ListParagraph"/>
        <w:keepLines/>
        <w:numPr>
          <w:ilvl w:val="0"/>
          <w:numId w:val="4"/>
        </w:numPr>
        <w:spacing w:after="60" w:line="264"/>
        <w:ind w:left="720" w:hanging="360"/>
      </w:pPr>
      <w:r>
        <w:rPr>
          <w:b/>
          <w:bCs/>
          <w:sz w:val="22"/>
          <w:szCs w:val="22"/>
        </w:rPr>
        <w:t xml:space="preserve">Sourcing Document B:</w:t>
      </w:r>
      <w:r>
        <w:rPr>
          <w:sz w:val="22"/>
          <w:szCs w:val="22"/>
        </w:rPr>
        <w:t xml:space="preserve"> An eastern representative writes to fellow lawmakers to warn against federal spending on projects far from his constituents; his purpose is fiscal and regional, which explains why he frames reclamation as a subsidy for a few rather than a national benefit, and why he stresses competition for his district's farmers. Context: he speaks during the June 1902 debate, just before the act was signed. The 1902 entry confirms that the money was to come from western public land sales and settler repayment rather than general taxes, which weakens his claim about the Treasury, while the 1914 entry shows that many settlers could not repay on schedule, which supports his doubt about repayment.</w:t>
      </w:r>
    </w:p>
    <w:p>
      <w:pPr>
        <w:pStyle w:val="ListParagraph"/>
        <w:keepLines/>
        <w:numPr>
          <w:ilvl w:val="0"/>
          <w:numId w:val="4"/>
        </w:numPr>
        <w:spacing w:after="60" w:line="264"/>
        <w:ind w:left="720" w:hanging="360"/>
      </w:pPr>
      <w:r>
        <w:rPr>
          <w:b/>
          <w:bCs/>
          <w:sz w:val="22"/>
          <w:szCs w:val="22"/>
        </w:rPr>
        <w:t xml:space="preserve">Sourcing Document C:</w:t>
      </w:r>
      <w:r>
        <w:rPr>
          <w:sz w:val="22"/>
          <w:szCs w:val="22"/>
        </w:rPr>
        <w:t xml:space="preserve"> A government technical expert writes to a congressional committee to justify a federal role and a planned approach to water storage; the point of view is professional and pro-reclamation. Context: the 1878 Powell report agrees that only a small share of the arid West can be irrigated, and the 1894 entry supports his statement that private companies could not carry the cost. His optimism that storage would produce productive farmland is itself a claim to test against later outcomes: the 1911 completion of Roosevelt Dam supports the engineering claim, while the 1914 repayment crisis shows the farms did not pay for themselves as quickly as planned. His call to tie water to resident settlers matches the residency and acreage rules in the 1902 entry.</w:t>
      </w:r>
    </w:p>
    <w:p>
      <w:pPr>
        <w:pStyle w:val="ListParagraph"/>
        <w:keepLines/>
        <w:numPr>
          <w:ilvl w:val="0"/>
          <w:numId w:val="4"/>
        </w:numPr>
        <w:spacing w:after="60" w:line="264"/>
        <w:ind w:left="720" w:hanging="360"/>
      </w:pPr>
      <w:r>
        <w:rPr>
          <w:b/>
          <w:bCs/>
          <w:sz w:val="22"/>
          <w:szCs w:val="22"/>
        </w:rPr>
        <w:t xml:space="preserve">Sourcing Document D:</w:t>
      </w:r>
      <w:r>
        <w:rPr>
          <w:sz w:val="22"/>
          <w:szCs w:val="22"/>
        </w:rPr>
        <w:t xml:space="preserve"> A railroad land department writes to prospective settlers to sell land and to build freight traffic; the point of view is commercial and promotional, which explains the confident tone and the absence of any risk. Context: the pamphlet follows the June 1902 act but comes before the first projects were authorized in 1903, which is why it can only point to "proposed" projects. The promise that land "can only rise in value" is called into question by the 1914 entry, since settlers who could not pay construction charges were not on secure footing. The remark about reservation tracts being opened shows that the railroad expected Native land to be part of the settlement plan.</w:t>
      </w:r>
    </w:p>
    <w:p>
      <w:pPr>
        <w:pStyle w:val="ListParagraph"/>
        <w:keepLines/>
        <w:numPr>
          <w:ilvl w:val="0"/>
          <w:numId w:val="4"/>
        </w:numPr>
        <w:spacing w:after="60" w:line="264"/>
        <w:ind w:left="720" w:hanging="360"/>
      </w:pPr>
      <w:r>
        <w:rPr>
          <w:b/>
          <w:bCs/>
          <w:sz w:val="22"/>
          <w:szCs w:val="22"/>
        </w:rPr>
        <w:t xml:space="preserve">Sourcing Document E:</w:t>
      </w:r>
      <w:r>
        <w:rPr>
          <w:sz w:val="22"/>
          <w:szCs w:val="22"/>
        </w:rPr>
        <w:t xml:space="preserve"> A cattle rancher speaks to fellow stock growers to rally opposition to federal irrigation; the point of view is that of an established water user who benefits from the open range and an early water right. "My appropriation from the creek" means his legal right to divert a set amount of creek water, held under the rule that the first user to put water to use has the first right (prior appropriation). Context: the 1891 Irrigation Congress and the December 1901 presidential message show that the campaign he opposes was gaining strength. His warning that upstream storage would leave downstream users short is supported by the 1905 entry, where the Truckee River diversion lowered Pyramid Lake.</w:t>
      </w:r>
    </w:p>
    <w:p>
      <w:pPr>
        <w:pStyle w:val="ListParagraph"/>
        <w:keepLines/>
        <w:numPr>
          <w:ilvl w:val="0"/>
          <w:numId w:val="4"/>
        </w:numPr>
        <w:spacing w:after="60" w:line="264"/>
        <w:ind w:left="720" w:hanging="360"/>
      </w:pPr>
      <w:r>
        <w:rPr>
          <w:b/>
          <w:bCs/>
          <w:sz w:val="22"/>
          <w:szCs w:val="22"/>
        </w:rPr>
        <w:t xml:space="preserve">Corroboration success:</w:t>
      </w:r>
      <w:r>
        <w:rPr>
          <w:sz w:val="22"/>
          <w:szCs w:val="22"/>
        </w:rPr>
        <w:t xml:space="preserve"> Documents A and C both claim that storing spring runoff and releasing it during the growing season could turn dry valleys into farmland. The agreement carries weight because the writers have different purposes: the homesteader wants help for his own farm, while the engineer writes as a technical expert who also warns about the limits of irrigation. When a hopeful interested party and a more cautious expert agree on the technical possibility, the claim is stronger than either source alone, although both writers still favored federal action.</w:t>
      </w:r>
    </w:p>
    <w:p>
      <w:pPr>
        <w:pStyle w:val="ListParagraph"/>
        <w:keepLines/>
        <w:numPr>
          <w:ilvl w:val="0"/>
          <w:numId w:val="4"/>
        </w:numPr>
        <w:spacing w:after="60" w:line="264"/>
        <w:ind w:left="720" w:hanging="360"/>
      </w:pPr>
      <w:r>
        <w:rPr>
          <w:b/>
          <w:bCs/>
          <w:sz w:val="22"/>
          <w:szCs w:val="22"/>
        </w:rPr>
        <w:t xml:space="preserve">Corroboration conflict:</w:t>
      </w:r>
      <w:r>
        <w:rPr>
          <w:sz w:val="22"/>
          <w:szCs w:val="22"/>
        </w:rPr>
        <w:t xml:space="preserve"> Document E disagrees with Document A about whether the arid land should be turned into irrigated farms at public expense. The homesteader argues that stored water will make the land productive cropland and that the government should pay for the works; the rancher argues that grazing is the best use of the land, that farms should be placed only where water already allows them, and that federal dams would dry up his creek and fence the range. The homesteader's interest is a farm whose value depends on stored water, and the rancher's interest is his herd, the open range, and a senior water right that upstream storage could threaten.</w:t>
      </w:r>
    </w:p>
    <w:p>
      <w:pPr>
        <w:pStyle w:val="ListParagraph"/>
        <w:keepLines/>
        <w:numPr>
          <w:ilvl w:val="0"/>
          <w:numId w:val="4"/>
        </w:numPr>
        <w:spacing w:after="60" w:line="264"/>
        <w:ind w:left="720" w:hanging="360"/>
      </w:pPr>
      <w:r>
        <w:rPr>
          <w:b/>
          <w:bCs/>
          <w:sz w:val="22"/>
          <w:szCs w:val="22"/>
        </w:rPr>
        <w:t xml:space="preserve">Responsibility shift:</w:t>
      </w:r>
      <w:r>
        <w:rPr>
          <w:sz w:val="22"/>
          <w:szCs w:val="22"/>
        </w:rPr>
        <w:t xml:space="preserve"> The Reclamation Act moved the financing, planning, and construction of large dams and canals from private companies and individual states to the federal government. Supporters argued that the earlier approaches had failed: Desert Land Act claims (1877) were often never irrigated, Carey Act projects (1894) were few and many private companies went bankrupt, and Document C explains that the best sites were on rivers crossing state lines and cost more than a company could recover. Document A describes two failed companies, and the 1901 presidential message states the same reasoning. Under the 1902 act the work was to be paid for from a reclamation fund built from western public land sales, with settlers repaying construction costs over time without interest, which is the arrangement Document B doubts.</w:t>
      </w:r>
    </w:p>
    <w:p>
      <w:pPr>
        <w:pStyle w:val="ListParagraph"/>
        <w:keepLines/>
        <w:numPr>
          <w:ilvl w:val="0"/>
          <w:numId w:val="4"/>
        </w:numPr>
        <w:spacing w:after="60" w:line="264"/>
        <w:ind w:left="720" w:hanging="360"/>
      </w:pPr>
      <w:r>
        <w:rPr>
          <w:b/>
          <w:bCs/>
          <w:sz w:val="22"/>
          <w:szCs w:val="22"/>
        </w:rPr>
        <w:t xml:space="preserve">Left-out interests:</w:t>
      </w:r>
      <w:r>
        <w:rPr>
          <w:sz w:val="22"/>
          <w:szCs w:val="22"/>
        </w:rPr>
        <w:t xml:space="preserve"> No document speaks for Native nations, even though the 1905 entry shows the Truckee River diversion lowering Pyramid Lake on the Pyramid Lake Paiute Reservation and the 1908 </w:t>
      </w:r>
      <w:r>
        <w:rPr>
          <w:i/>
          <w:iCs/>
          <w:sz w:val="22"/>
          <w:szCs w:val="22"/>
        </w:rPr>
        <w:t xml:space="preserve">Winters</w:t>
      </w:r>
      <w:r>
        <w:rPr>
          <w:sz w:val="22"/>
          <w:szCs w:val="22"/>
        </w:rPr>
        <w:t xml:space="preserve"> decision shows that reservation water rights were at stake on federal land. Document D mentions reservation tracts being opened to settlers without any Native voice in the decision. Downstream water users are also largely absent; only Document E mentions them, and it speaks for one rancher's stock and the hay meadows below his ranch rather than for downstream communities in general.</w:t>
      </w:r>
    </w:p>
    <w:p>
      <w:pPr>
        <w:spacing w:after="40" w:before="0" w:line="120" w:lineRule="exact"/>
      </w:pPr>
    </w:p>
    <w:p>
      <w:pPr>
        <w:spacing w:after="100" w:line="264"/>
      </w:pPr>
      <w:r>
        <w:rPr>
          <w:b/>
          <w:bCs/>
          <w:sz w:val="22"/>
          <w:szCs w:val="22"/>
        </w:rPr>
        <w:t xml:space="preserve">Exit ticket (no single correct answer):</w:t>
      </w:r>
      <w:r>
        <w:rPr>
          <w:sz w:val="22"/>
          <w:szCs w:val="22"/>
        </w:rPr>
        <w:t xml:space="preserve"> A strong card states a clear claim, cites at least two documents by letter, uses one timeline entry dated after 1902 (for example 1905, 1908, 1911, or 1914) as evidence of an outcome, and names a disadvantaged group such as the Pyramid Lake Paiute, other Native nations, downstream water users, open-range ranchers, or settlers who could not repay their charges.</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1902 Reclamation Act: A Grade 11 Document-Based Inquiry</dc:title>
  <dc:subject>Lesson plan · Grade 11 · Social Studies &amp; Civics</dc:subject>
  <dc:creator>Water for Schools</dc:creator>
  <cp:keywords>Lesson plan, Grade 11, Social Studies &amp; Civics</cp:keywords>
  <dc:description>A grade 11 U.S. history inquiry in which students source, contextualize, and corroborate five stakeholder statements and a timeline on the 1902 Reclamation Act.</dc:description>
  <cp:lastModifiedBy>Water for Schools</cp:lastModifiedBy>
  <cp:revision>1</cp:revision>
  <dcterms:created xsi:type="dcterms:W3CDTF">2026-10-19T16:29:26.035Z</dcterms:created>
  <dcterms:modified xsi:type="dcterms:W3CDTF">2026-10-19T16:29:26.035Z</dcterms:modified>
</cp:coreProperties>
</file>

<file path=docProps/custom.xml><?xml version="1.0" encoding="utf-8"?>
<Properties xmlns="http://schemas.openxmlformats.org/officeDocument/2006/custom-properties" xmlns:vt="http://schemas.openxmlformats.org/officeDocument/2006/docPropsVTypes"/>
</file>