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Auditing Beckett Springs' Compliance Report: A Grade 12 Worksheet</w:t>
      </w:r>
    </w:p>
    <w:p>
      <w:pPr>
        <w:keepNext/>
        <w:spacing w:after="160"/>
      </w:pPr>
      <w:r>
        <w:rPr>
          <w:color w:val="5B6B70"/>
          <w:sz w:val="20"/>
          <w:szCs w:val="20"/>
        </w:rPr>
        <w:t xml:space="preserve">Worksheet · Grade 12 · Social Studies &amp; Civics</w:t>
      </w:r>
    </w:p>
    <w:p>
      <w:pPr>
        <w:spacing w:after="100" w:line="264"/>
      </w:pPr>
      <w:r>
        <w:rPr>
          <w:i/>
          <w:iCs/>
          <w:color w:val="12333F"/>
          <w:sz w:val="22"/>
          <w:szCs w:val="22"/>
        </w:rPr>
        <w:t xml:space="preserve">A grade 12 government worksheet in which students audit a fictional water system's monitoring data against federal standards and flag violations that require action.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a water system's monitoring results to federal drinking water standards.</w:t>
      </w:r>
    </w:p>
    <w:p>
      <w:pPr>
        <w:pStyle w:val="ListParagraph"/>
        <w:keepNext/>
        <w:keepLines/>
        <w:numPr>
          <w:ilvl w:val="0"/>
          <w:numId w:val="2"/>
        </w:numPr>
        <w:spacing w:after="60" w:line="264"/>
        <w:ind w:left="720" w:hanging="360"/>
      </w:pPr>
      <w:r>
        <w:rPr>
          <w:sz w:val="22"/>
          <w:szCs w:val="22"/>
        </w:rPr>
        <w:t xml:space="preserve">Students will distinguish enforceable health standards from non-enforceable aesthetic standards.</w:t>
      </w:r>
    </w:p>
    <w:p>
      <w:pPr>
        <w:pStyle w:val="ListParagraph"/>
        <w:keepLines/>
        <w:numPr>
          <w:ilvl w:val="0"/>
          <w:numId w:val="2"/>
        </w:numPr>
        <w:spacing w:after="60" w:line="264"/>
        <w:ind w:left="720" w:hanging="360"/>
      </w:pPr>
      <w:r>
        <w:rPr>
          <w:sz w:val="22"/>
          <w:szCs w:val="22"/>
        </w:rPr>
        <w:t xml:space="preserve">Students will determine which violations require a regulatory response.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Students evaluate how a federal standard, its enforcement by a state agency, and a required response together determine whether a water system's results count as a violation.</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Students integrate the monitoring data table with the text of each federal standard to decide, parameter by parameter, whether the system complies.</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maximum residual, primacy agency, secondary standard, compliance</w:t>
      </w:r>
    </w:p>
    <w:p>
      <w:pPr>
        <w:pStyle w:val="Heading2"/>
        <w:keepNext/>
        <w:keepLines/>
      </w:pPr>
      <w:r>
        <w:rPr>
          <w:sz w:val="28"/>
          <w:szCs w:val="28"/>
        </w:rPr>
        <w:t xml:space="preserve">Teacher overview</w:t>
      </w:r>
    </w:p>
    <w:p>
      <w:pPr>
        <w:spacing w:after="100" w:line="264"/>
      </w:pPr>
      <w:r>
        <w:rPr>
          <w:sz w:val="22"/>
          <w:szCs w:val="22"/>
        </w:rPr>
        <w:t xml:space="preserve">Every community water system must test its water and report the results, but a report only means something if a reader can check the numbers against the rules. This worksheet turns students into auditors for the fictional Beckett Springs Water System. They read a table of monitoring results, compare each one to the matching federal standard, and decide whether the system complies. Along the way they learn the difference between an enforceable health standard, such as the lead action level, and a non-enforceable aesthetic standard, such as the one for pH, and they identify which failures trigger a required response.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version of the table with a blank "Complies?" column and a yes/no checkbox for each parameter, so students can record each judgment before writing their explanations, and pre-highlight where each result meets or misses its standard.</w:t>
      </w:r>
    </w:p>
    <w:p>
      <w:pPr>
        <w:pStyle w:val="Heading3"/>
        <w:keepNext/>
        <w:keepLines/>
      </w:pPr>
      <w:r>
        <w:rPr>
          <w:sz w:val="24"/>
          <w:szCs w:val="24"/>
        </w:rPr>
        <w:t xml:space="preserve">Extension</w:t>
      </w:r>
    </w:p>
    <w:p>
      <w:pPr>
        <w:spacing w:after="100" w:line="264"/>
      </w:pPr>
      <w:r>
        <w:rPr>
          <w:sz w:val="22"/>
          <w:szCs w:val="22"/>
        </w:rPr>
        <w:t xml:space="preserve">Ask students to write the short public-notice paragraph Beckett Springs would have to send customers about the lead exceedance, using plain language that explains the result, the risk, and one action a resident can take, without overstating the danger.</w:t>
      </w:r>
    </w:p>
    <w:p>
      <w:pPr>
        <w:pStyle w:val="Heading3"/>
        <w:keepNext/>
        <w:keepLines/>
      </w:pPr>
      <w:r>
        <w:rPr>
          <w:sz w:val="24"/>
          <w:szCs w:val="24"/>
        </w:rPr>
        <w:t xml:space="preserve">ELL supports</w:t>
      </w:r>
    </w:p>
    <w:p>
      <w:pPr>
        <w:spacing w:after="100" w:line="264"/>
      </w:pPr>
      <w:r>
        <w:rPr>
          <w:sz w:val="22"/>
          <w:szCs w:val="22"/>
        </w:rPr>
        <w:t xml:space="preserve">Pre-teach "comply," "exceed," "action level," and "enforce" with the table and simple icons for pass and fail. Allow students to answer the yes/no items with a single word plus a short phrase, and provide a sentence frame for the explanation items.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Auditing Beckett Springs' Compliance Report</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Worksheet</w:t>
      </w:r>
    </w:p>
    <w:p>
      <w:pPr>
        <w:keepNext/>
        <w:keepLines/>
        <w:spacing w:after="120" w:line="276"/>
      </w:pPr>
      <w:r>
        <w:rPr>
          <w:sz w:val="22"/>
          <w:szCs w:val="22"/>
        </w:rPr>
        <w:t xml:space="preserve">The fictional Beckett Springs Water System reported the results below for the past year. Use the table for all items. In the federal system, EPA writes the standards and a state primacy agency enforces them.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34"/>
        <w:gridCol w:w="5348"/>
        <w:gridCol w:w="2898"/>
      </w:tblGrid>
      <w:tr>
        <w:trPr>
          <w:cantSplit/>
          <w:tblHeader/>
        </w:trPr>
        <w:tc>
          <w:tcPr>
            <w:tcW w:type="dxa" w:w="18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Parameter</w:t>
            </w:r>
          </w:p>
        </w:tc>
        <w:tc>
          <w:tcPr>
            <w:tcW w:type="dxa" w:w="53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Federal standard</w:t>
            </w:r>
          </w:p>
        </w:tc>
        <w:tc>
          <w:tcPr>
            <w:tcW w:type="dxa" w:w="289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Beckett Springs result</w:t>
            </w:r>
          </w:p>
        </w:tc>
      </w:tr>
      <w:tr>
        <w:trPr>
          <w:cantSplit/>
        </w:trPr>
        <w:tc>
          <w:tcPr>
            <w:tcW w:type="dxa" w:w="1834"/>
            <w:tcMar>
              <w:top w:type="dxa" w:w="70"/>
              <w:left w:type="dxa" w:w="100"/>
              <w:bottom w:type="dxa" w:w="70"/>
              <w:right w:type="dxa" w:w="100"/>
            </w:tcMar>
            <w:vAlign w:val="top"/>
          </w:tcPr>
          <w:p>
            <w:pPr>
              <w:keepNext/>
              <w:spacing w:after="0" w:line="252"/>
              <w:jc w:val="left"/>
            </w:pPr>
            <w:r>
              <w:rPr>
                <w:sz w:val="22"/>
                <w:szCs w:val="22"/>
              </w:rPr>
              <w:t xml:space="preserve">Turbidity</w:t>
            </w:r>
          </w:p>
        </w:tc>
        <w:tc>
          <w:tcPr>
            <w:tcW w:type="dxa" w:w="5348"/>
            <w:tcMar>
              <w:top w:type="dxa" w:w="70"/>
              <w:left w:type="dxa" w:w="100"/>
              <w:bottom w:type="dxa" w:w="70"/>
              <w:right w:type="dxa" w:w="100"/>
            </w:tcMar>
            <w:vAlign w:val="top"/>
          </w:tcPr>
          <w:p>
            <w:pPr>
              <w:keepNext/>
              <w:spacing w:after="0" w:line="252"/>
              <w:jc w:val="left"/>
            </w:pPr>
            <w:r>
              <w:rPr>
                <w:sz w:val="22"/>
                <w:szCs w:val="22"/>
              </w:rPr>
              <w:t xml:space="preserve">At or below 0.3 NTU in 95 percent of monthly samples</w:t>
            </w:r>
          </w:p>
        </w:tc>
        <w:tc>
          <w:tcPr>
            <w:tcW w:type="dxa" w:w="2898"/>
            <w:tcMar>
              <w:top w:type="dxa" w:w="70"/>
              <w:left w:type="dxa" w:w="100"/>
              <w:bottom w:type="dxa" w:w="70"/>
              <w:right w:type="dxa" w:w="100"/>
            </w:tcMar>
            <w:vAlign w:val="top"/>
          </w:tcPr>
          <w:p>
            <w:pPr>
              <w:keepNext/>
              <w:spacing w:after="0" w:line="252"/>
              <w:jc w:val="left"/>
            </w:pPr>
            <w:r>
              <w:rPr>
                <w:sz w:val="22"/>
                <w:szCs w:val="22"/>
              </w:rPr>
              <w:t xml:space="preserve">Met the level in only 90 percent of samples</w:t>
            </w:r>
          </w:p>
        </w:tc>
      </w:tr>
      <w:tr>
        <w:trPr>
          <w:cantSplit/>
        </w:trPr>
        <w:tc>
          <w:tcPr>
            <w:tcW w:type="dxa" w:w="1834"/>
            <w:tcMar>
              <w:top w:type="dxa" w:w="70"/>
              <w:left w:type="dxa" w:w="100"/>
              <w:bottom w:type="dxa" w:w="70"/>
              <w:right w:type="dxa" w:w="100"/>
            </w:tcMar>
            <w:vAlign w:val="top"/>
          </w:tcPr>
          <w:p>
            <w:pPr>
              <w:keepNext/>
              <w:spacing w:after="0" w:line="252"/>
              <w:jc w:val="left"/>
            </w:pPr>
            <w:r>
              <w:rPr>
                <w:sz w:val="22"/>
                <w:szCs w:val="22"/>
              </w:rPr>
              <w:t xml:space="preserve">Chlorine residual</w:t>
            </w:r>
          </w:p>
        </w:tc>
        <w:tc>
          <w:tcPr>
            <w:tcW w:type="dxa" w:w="5348"/>
            <w:tcMar>
              <w:top w:type="dxa" w:w="70"/>
              <w:left w:type="dxa" w:w="100"/>
              <w:bottom w:type="dxa" w:w="70"/>
              <w:right w:type="dxa" w:w="100"/>
            </w:tcMar>
            <w:vAlign w:val="top"/>
          </w:tcPr>
          <w:p>
            <w:pPr>
              <w:keepNext/>
              <w:spacing w:after="0" w:line="252"/>
              <w:jc w:val="left"/>
            </w:pPr>
            <w:r>
              <w:rPr>
                <w:sz w:val="22"/>
                <w:szCs w:val="22"/>
              </w:rPr>
              <w:t xml:space="preserve">Maximum residual of 4.0 mg/L</w:t>
            </w:r>
          </w:p>
        </w:tc>
        <w:tc>
          <w:tcPr>
            <w:tcW w:type="dxa" w:w="2898"/>
            <w:tcMar>
              <w:top w:type="dxa" w:w="70"/>
              <w:left w:type="dxa" w:w="100"/>
              <w:bottom w:type="dxa" w:w="70"/>
              <w:right w:type="dxa" w:w="100"/>
            </w:tcMar>
            <w:vAlign w:val="top"/>
          </w:tcPr>
          <w:p>
            <w:pPr>
              <w:keepNext/>
              <w:spacing w:after="0" w:line="252"/>
              <w:jc w:val="left"/>
            </w:pPr>
            <w:r>
              <w:rPr>
                <w:sz w:val="22"/>
                <w:szCs w:val="22"/>
              </w:rPr>
              <w:t xml:space="preserve">2.5 mg/L average</w:t>
            </w:r>
          </w:p>
        </w:tc>
      </w:tr>
      <w:tr>
        <w:trPr>
          <w:cantSplit/>
        </w:trPr>
        <w:tc>
          <w:tcPr>
            <w:tcW w:type="dxa" w:w="1834"/>
            <w:tcMar>
              <w:top w:type="dxa" w:w="70"/>
              <w:left w:type="dxa" w:w="100"/>
              <w:bottom w:type="dxa" w:w="70"/>
              <w:right w:type="dxa" w:w="100"/>
            </w:tcMar>
            <w:vAlign w:val="top"/>
          </w:tcPr>
          <w:p>
            <w:pPr>
              <w:keepNext/>
              <w:spacing w:after="0" w:line="252"/>
              <w:jc w:val="left"/>
            </w:pPr>
            <w:r>
              <w:rPr>
                <w:sz w:val="22"/>
                <w:szCs w:val="22"/>
              </w:rPr>
              <w:t xml:space="preserve">Lead (90th percentile)</w:t>
            </w:r>
          </w:p>
        </w:tc>
        <w:tc>
          <w:tcPr>
            <w:tcW w:type="dxa" w:w="5348"/>
            <w:tcMar>
              <w:top w:type="dxa" w:w="70"/>
              <w:left w:type="dxa" w:w="100"/>
              <w:bottom w:type="dxa" w:w="70"/>
              <w:right w:type="dxa" w:w="100"/>
            </w:tcMar>
            <w:vAlign w:val="top"/>
          </w:tcPr>
          <w:p>
            <w:pPr>
              <w:keepNext/>
              <w:spacing w:after="0" w:line="252"/>
              <w:jc w:val="left"/>
            </w:pPr>
            <w:r>
              <w:rPr>
                <w:sz w:val="22"/>
                <w:szCs w:val="22"/>
              </w:rPr>
              <w:t xml:space="preserve">Action level of 15 ppb, dropping to 10 ppb in 2027</w:t>
            </w:r>
          </w:p>
        </w:tc>
        <w:tc>
          <w:tcPr>
            <w:tcW w:type="dxa" w:w="2898"/>
            <w:tcMar>
              <w:top w:type="dxa" w:w="70"/>
              <w:left w:type="dxa" w:w="100"/>
              <w:bottom w:type="dxa" w:w="70"/>
              <w:right w:type="dxa" w:w="100"/>
            </w:tcMar>
            <w:vAlign w:val="top"/>
          </w:tcPr>
          <w:p>
            <w:pPr>
              <w:keepNext/>
              <w:spacing w:after="0" w:line="252"/>
              <w:jc w:val="left"/>
            </w:pPr>
            <w:r>
              <w:rPr>
                <w:sz w:val="22"/>
                <w:szCs w:val="22"/>
              </w:rPr>
              <w:t xml:space="preserve">18 ppb</w:t>
            </w:r>
          </w:p>
        </w:tc>
      </w:tr>
      <w:tr>
        <w:trPr>
          <w:cantSplit/>
        </w:trPr>
        <w:tc>
          <w:tcPr>
            <w:tcW w:type="dxa" w:w="1834"/>
            <w:tcMar>
              <w:top w:type="dxa" w:w="70"/>
              <w:left w:type="dxa" w:w="100"/>
              <w:bottom w:type="dxa" w:w="70"/>
              <w:right w:type="dxa" w:w="100"/>
            </w:tcMar>
            <w:vAlign w:val="top"/>
          </w:tcPr>
          <w:p>
            <w:pPr>
              <w:spacing w:after="0" w:line="252"/>
              <w:jc w:val="left"/>
            </w:pPr>
            <w:r>
              <w:rPr>
                <w:sz w:val="22"/>
                <w:szCs w:val="22"/>
              </w:rPr>
              <w:t xml:space="preserve">pH</w:t>
            </w:r>
          </w:p>
        </w:tc>
        <w:tc>
          <w:tcPr>
            <w:tcW w:type="dxa" w:w="5348"/>
            <w:tcMar>
              <w:top w:type="dxa" w:w="70"/>
              <w:left w:type="dxa" w:w="100"/>
              <w:bottom w:type="dxa" w:w="70"/>
              <w:right w:type="dxa" w:w="100"/>
            </w:tcMar>
            <w:vAlign w:val="top"/>
          </w:tcPr>
          <w:p>
            <w:pPr>
              <w:spacing w:after="0" w:line="252"/>
              <w:jc w:val="left"/>
            </w:pPr>
            <w:r>
              <w:rPr>
                <w:sz w:val="22"/>
                <w:szCs w:val="22"/>
              </w:rPr>
              <w:t xml:space="preserve">Secondary standard of 6.5 to 8.5</w:t>
            </w:r>
          </w:p>
        </w:tc>
        <w:tc>
          <w:tcPr>
            <w:tcW w:type="dxa" w:w="2898"/>
            <w:tcMar>
              <w:top w:type="dxa" w:w="70"/>
              <w:left w:type="dxa" w:w="100"/>
              <w:bottom w:type="dxa" w:w="70"/>
              <w:right w:type="dxa" w:w="100"/>
            </w:tcMar>
            <w:vAlign w:val="top"/>
          </w:tcPr>
          <w:p>
            <w:pPr>
              <w:spacing w:after="0" w:line="252"/>
              <w:jc w:val="left"/>
            </w:pPr>
            <w:r>
              <w:rPr>
                <w:sz w:val="22"/>
                <w:szCs w:val="22"/>
              </w:rPr>
              <w:t xml:space="preserve">7.2</w:t>
            </w:r>
          </w:p>
        </w:tc>
      </w:tr>
    </w:tbl>
    <w:p>
      <w:pPr>
        <w:spacing w:after="160" w:before="0"/>
      </w:pPr>
    </w:p>
    <w:p>
      <w:pPr>
        <w:pStyle w:val="ListParagraph"/>
        <w:keepNext/>
        <w:keepLines/>
        <w:numPr>
          <w:ilvl w:val="0"/>
          <w:numId w:val="3"/>
        </w:numPr>
        <w:spacing w:after="100" w:line="276"/>
        <w:ind w:left="720" w:hanging="360"/>
      </w:pPr>
      <w:r>
        <w:rPr>
          <w:sz w:val="22"/>
          <w:szCs w:val="22"/>
        </w:rPr>
        <w:t xml:space="preserve">Which level of government writes these standards, and which level usually enforces them for a system like Beckett Springs?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turbidity rule requires 0.3 NTU or below in 95 percent of monthly samples. Beckett Springs met that level in only 90 percent of samples. Does the system comply?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Turbidity measures how cloudy the water is. Using the table and your own knowledge, explain why a health standard is set for a measure of cloudiness.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Beckett Springs reported a chlorine residual of 2.5 mg/L against a maximum of 4.0 mg/L. Does the result comply with that maximum? Explain what the maximum is meant to prevent.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Beckett Springs reported a 90th-percentile lead result of 18 ppb against the action level of 15 ppb. Does the result exceed the action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lead action level drops to 10 ppb in 2027. If the Beckett Springs result stays at 18 ppb, by how many ppb will it exceed the 2027 action level?</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When a system exceeds the lead action level, the rule requires specific responses. Name one response the primacy agency could require of Beckett Springs.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pH result of 7.2 falls within the secondary standard of 6.5 to 8.5. Explain how a secondary standard differs from the lead action level in terms of enforcement.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whole table, which single parameter should the state agency treat as the highest priority,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Evaluate one intended outcome and one unintended outcome of the rule that requires systems to mail these reports to every customer.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Auditing Beckett Springs' Compliance Report: A Grade 12 Worksheet</w:t>
      </w:r>
    </w:p>
    <w:p>
      <w:pPr>
        <w:keepNext/>
        <w:spacing w:after="160"/>
      </w:pPr>
      <w:r>
        <w:rPr>
          <w:color w:val="5B6B70"/>
          <w:sz w:val="20"/>
          <w:szCs w:val="20"/>
        </w:rPr>
        <w:t xml:space="preserve">Worksheet · Grade 12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federal EPA writes the standards, and a state primacy agency enforces them day to day for community systems like Beckett Springs.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rule requires the system to meet 0.3 NTU in at least 95 percent of samples, and Beckett Springs met it in only 90 percent, so it fails the turbidity requirement.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Cloudiness is regulated because particles can shield bacteria and viruses from disinfection and can signal that filtration is not working, so turbidity is a health warning, not just an appearance issue.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2.5 mg/L is below the 4.0 mg/L maximum, so it complies. The maximum limits how much disinfectant is in the water, because too much chlorine and its byproducts can pose their own health risks.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18 ppb is greater than the 15 ppb action level, so Beckett Springs exceeds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ppb over. 18 ppb minus the 2027 action level of 10 ppb equals 8 ppb above the standard.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one of: install or improve corrosion control treatment, provide public education to customers, or begin replacing lead service lines.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pH standard is a secondary, aesthetic standard that is not federally enforceable, while the lead action level is a health-based requirement that triggers mandatory responses when exceeded.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Lead is a strong choice because it is health-based, the result already exceeds the action level, and the level is about to tighten, so the exceedance will only grow. Turbidity is also defensible, because missing the 95 percent requirement is a treatment-technique violation that can signal a microbial risk. Accept either choice when it is supported by health risk or enforcement status.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An intended outcome is that customers can see their water quality and hold the system accountable; an unintended outcome is that technical numbers without context can confuse residents or cause needless alarm.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Auditing Beckett Springs' Compliance Report: A Grade 12 Worksheet</dc:title>
  <dc:subject>Worksheet · Grade 12 · Social Studies &amp; Civics</dc:subject>
  <dc:creator>Water for Schools</dc:creator>
  <cp:keywords>Worksheet, Grade 12, Social Studies &amp; Civics</cp:keywords>
  <dc:description>A grade 12 government worksheet in which students audit a fictional water system's monitoring data against federal standards and flag violations that require action.</dc:description>
  <cp:lastModifiedBy>Water for Schools</cp:lastModifiedBy>
  <cp:revision>1</cp:revision>
  <dcterms:created xsi:type="dcterms:W3CDTF">2026-10-19T16:29:26.280Z</dcterms:created>
  <dcterms:modified xsi:type="dcterms:W3CDTF">2026-10-19T16:29:26.280Z</dcterms:modified>
</cp:coreProperties>
</file>

<file path=docProps/custom.xml><?xml version="1.0" encoding="utf-8"?>
<Properties xmlns="http://schemas.openxmlformats.org/officeDocument/2006/custom-properties" xmlns:vt="http://schemas.openxmlformats.org/officeDocument/2006/docPropsVTypes"/>
</file>