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Silverbrook Charge a Stormwater Fee by Hard Surface?</w:t>
      </w:r>
    </w:p>
    <w:p>
      <w:pPr>
        <w:keepNext/>
        <w:spacing w:after="160"/>
      </w:pPr>
      <w:r>
        <w:rPr>
          <w:color w:val="5B6B70"/>
          <w:sz w:val="20"/>
          <w:szCs w:val="20"/>
        </w:rPr>
        <w:t xml:space="preserve">Debate kit · Grade 6 · Social Studies &amp; Civics</w:t>
      </w:r>
    </w:p>
    <w:p>
      <w:pPr>
        <w:spacing w:after="100" w:line="264"/>
      </w:pPr>
      <w:r>
        <w:rPr>
          <w:i/>
          <w:iCs/>
          <w:color w:val="12333F"/>
          <w:sz w:val="22"/>
          <w:szCs w:val="22"/>
        </w:rPr>
        <w:t xml:space="preserve">A two-session grade 6 debate kit on whether a fictional city should bill each property for storm drains by roof and pavement area, with two-sided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Timer</w:t>
            </w:r>
          </w:p>
          <w:p>
            <w:pPr>
              <w:spacing w:after="0"/>
            </w:pPr>
            <w:r>
              <w:rPr>
                <w:sz w:val="20"/>
                <w:szCs w:val="20"/>
              </w:rPr>
              <w:t xml:space="preserve">• Note cards for rebuttal prep</w:t>
            </w:r>
          </w:p>
          <w:p>
            <w:pPr>
              <w:spacing w:after="0"/>
            </w:pPr>
            <w:r>
              <w:rPr>
                <w:sz w:val="20"/>
                <w:szCs w:val="20"/>
              </w:rPr>
              <w:t xml:space="preserve">• Printed rubric for judges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claim about how a city should pay for storm drains and support it with evidence.</w:t>
      </w:r>
    </w:p>
    <w:p>
      <w:pPr>
        <w:pStyle w:val="ListParagraph"/>
        <w:keepNext/>
        <w:keepLines/>
        <w:numPr>
          <w:ilvl w:val="0"/>
          <w:numId w:val="2"/>
        </w:numPr>
        <w:spacing w:after="60" w:line="264"/>
        <w:ind w:left="720" w:hanging="360"/>
      </w:pPr>
      <w:r>
        <w:rPr>
          <w:sz w:val="22"/>
          <w:szCs w:val="22"/>
        </w:rPr>
        <w:t xml:space="preserve">Students will respond directly to the strongest point made by the other side.</w:t>
      </w:r>
    </w:p>
    <w:p>
      <w:pPr>
        <w:pStyle w:val="ListParagraph"/>
        <w:keepLines/>
        <w:numPr>
          <w:ilvl w:val="0"/>
          <w:numId w:val="2"/>
        </w:numPr>
        <w:spacing w:after="60" w:line="264"/>
        <w:ind w:left="720" w:hanging="360"/>
      </w:pPr>
      <w:r>
        <w:rPr>
          <w:sz w:val="22"/>
          <w:szCs w:val="22"/>
        </w:rPr>
        <w:t xml:space="preserve">Students will compare a timed debate format with the way a real council hears public comment.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Students weigh two ways of paying for storm drains and state the benefits and costs each one carries for homeowners, renters, schools, and the city budget.</w:t>
      </w:r>
    </w:p>
    <w:p>
      <w:pPr>
        <w:keepNext/>
        <w:spacing w:after="40" w:line="264"/>
      </w:pPr>
      <w:r>
        <w:rPr>
          <w:b/>
          <w:bCs/>
          <w:sz w:val="22"/>
          <w:szCs w:val="22"/>
        </w:rPr>
        <w:t xml:space="preserve">D2.Civ.9.6-8 (C3 Framework)</w:t>
      </w:r>
      <w:r>
        <w:rPr>
          <w:sz w:val="22"/>
          <w:szCs w:val="22"/>
        </w:rPr>
        <w:t xml:space="preserve">: Compare deliberative processes used by a wide variety of groups in various settings.</w:t>
      </w:r>
    </w:p>
    <w:p>
      <w:pPr>
        <w:spacing w:after="100" w:line="264"/>
        <w:ind w:left="360"/>
      </w:pPr>
      <w:r>
        <w:rPr>
          <w:i/>
          <w:iCs/>
          <w:color w:val="5B6B70"/>
          <w:sz w:val="20"/>
          <w:szCs w:val="20"/>
        </w:rPr>
        <w:t xml:space="preserve">How this material addresses it: Students take part in a structured hearing with timed rounds and then compare that process with a city council meeting that takes open public comment.</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In session one each team writes an opening statement that states a claim about how a city should pay for storm drains and supports it with reasons drawn from the evidence file, then defends that claim in the rebuttal round.</w:t>
      </w:r>
    </w:p>
    <w:p>
      <w:pPr>
        <w:pStyle w:val="Heading2"/>
        <w:keepNext/>
        <w:keepLines/>
      </w:pPr>
      <w:r>
        <w:rPr>
          <w:sz w:val="28"/>
          <w:szCs w:val="28"/>
        </w:rPr>
        <w:t xml:space="preserve">Vocabulary</w:t>
      </w:r>
    </w:p>
    <w:p>
      <w:pPr>
        <w:keepNext/>
        <w:spacing w:after="80" w:line="264"/>
      </w:pPr>
      <w:r>
        <w:rPr>
          <w:b/>
          <w:bCs/>
          <w:sz w:val="22"/>
          <w:szCs w:val="22"/>
        </w:rPr>
        <w:t xml:space="preserve">Stormwater</w:t>
      </w:r>
      <w:r>
        <w:rPr>
          <w:sz w:val="22"/>
          <w:szCs w:val="22"/>
        </w:rPr>
        <w:t xml:space="preserve">: Stormwater is rain or melted snow that flows off roofs, streets, and parking lots. In most towns it goes into storm drains and flows to a stream without being treated, carrying whatever it picked up.</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keepNext/>
        <w:spacing w:after="80" w:line="264"/>
      </w:pPr>
      <w:r>
        <w:rPr>
          <w:b/>
          <w:bCs/>
          <w:sz w:val="22"/>
          <w:szCs w:val="22"/>
        </w:rPr>
        <w:t xml:space="preserve">Ratepayer</w:t>
      </w:r>
      <w:r>
        <w:rPr>
          <w:sz w:val="22"/>
          <w:szCs w:val="22"/>
        </w:rPr>
        <w:t xml:space="preserve">: A person or business that pays a utility bill. Ratepayers provide most of the money that keeps a water system running.</w:t>
      </w:r>
    </w:p>
    <w:p>
      <w:pPr>
        <w:spacing w:after="100" w:line="264"/>
      </w:pPr>
      <w:r>
        <w:rPr>
          <w:b/>
          <w:bCs/>
          <w:sz w:val="22"/>
          <w:szCs w:val="22"/>
        </w:rPr>
        <w:t xml:space="preserve">Also: </w:t>
      </w:r>
      <w:r>
        <w:rPr>
          <w:sz w:val="22"/>
          <w:szCs w:val="22"/>
        </w:rPr>
        <w:t xml:space="preserve">fee, credit</w:t>
      </w:r>
    </w:p>
    <w:p>
      <w:pPr>
        <w:pStyle w:val="Heading2"/>
        <w:keepNext/>
        <w:keepLines/>
      </w:pPr>
      <w:r>
        <w:rPr>
          <w:sz w:val="28"/>
          <w:szCs w:val="28"/>
        </w:rPr>
        <w:t xml:space="preserve">Teacher overview</w:t>
      </w:r>
    </w:p>
    <w:p>
      <w:pPr>
        <w:spacing w:after="100" w:line="264"/>
      </w:pPr>
      <w:r>
        <w:rPr>
          <w:sz w:val="22"/>
          <w:szCs w:val="22"/>
        </w:rPr>
        <w:t xml:space="preserve">This kit runs as a two-team hearing before a student panel, with timed opening statements, a question round, and closings, in the fictional city of Silverbrook. The question is genuinely contested in real cities: paying for storm drains through a fee based on roof and pavement area is fairer to some households and harder on others, and it reaches property owners who pay no property tax at all. Session one is preparation and session two is the hearing and debrief. Teachers should expect strong arguments on both sides, since the evidence file gives each team substantive points to work from.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prepared claim sentence and two evidence cards drawn from their team's side, and assign them the opening statement rather than the question round, so their speaking task is planned in advance. Allow them to read from notes. Pair each with a teammate who will handle follow-up questions.</w:t>
      </w:r>
    </w:p>
    <w:p>
      <w:pPr>
        <w:pStyle w:val="Heading3"/>
        <w:keepNext/>
        <w:keepLines/>
      </w:pPr>
      <w:r>
        <w:rPr>
          <w:sz w:val="24"/>
          <w:szCs w:val="24"/>
        </w:rPr>
        <w:t xml:space="preserve">Extension</w:t>
      </w:r>
    </w:p>
    <w:p>
      <w:pPr>
        <w:spacing w:after="100" w:line="264"/>
      </w:pPr>
      <w:r>
        <w:rPr>
          <w:sz w:val="22"/>
          <w:szCs w:val="22"/>
        </w:rPr>
        <w:t xml:space="preserve">Ask these students to draft an amendment that keeps the fee but softens its hardest effect, such as a cap for nonprofit properties or a reduced rate for households below an income line. They should present the amendment after the closings and explain which objection it answers and what it costs.</w:t>
      </w:r>
    </w:p>
    <w:p>
      <w:pPr>
        <w:pStyle w:val="Heading3"/>
        <w:keepNext/>
        <w:keepLines/>
      </w:pPr>
      <w:r>
        <w:rPr>
          <w:sz w:val="24"/>
          <w:szCs w:val="24"/>
        </w:rPr>
        <w:t xml:space="preserve">ELL supports</w:t>
      </w:r>
    </w:p>
    <w:p>
      <w:pPr>
        <w:spacing w:after="100" w:line="264"/>
      </w:pPr>
      <w:r>
        <w:rPr>
          <w:sz w:val="22"/>
          <w:szCs w:val="22"/>
        </w:rPr>
        <w:t xml:space="preserve">Pre-teach "runoff," "hard surface," "fee," "credit," and "burden," using a photograph of a parking lot in rain beside a photograph of a lawn in rain. Provide sentence frames for each round: "Our claim is that ___." and "The other team says ___, but ___." Allow students to deliver the opening in a rehearsed pair, with one speaker per reason.</w:t>
      </w:r>
    </w:p>
    <w:p>
      <w:pPr>
        <w:pStyle w:val="Heading2"/>
        <w:keepNext/>
        <w:keepLines/>
      </w:pPr>
      <w:r>
        <w:rPr>
          <w:sz w:val="28"/>
          <w:szCs w:val="28"/>
        </w:rPr>
        <w:t xml:space="preserve">Extensions</w:t>
      </w:r>
    </w:p>
    <w:p>
      <w:pPr>
        <w:spacing w:after="100" w:line="264"/>
      </w:pPr>
      <w:r>
        <w:rPr>
          <w:sz w:val="22"/>
          <w:szCs w:val="22"/>
        </w:rPr>
        <w:t xml:space="preserve">After the debrief, students can compare the timed hearing with a real city council meeting by watching a recorded local meeting and charting who speaks, for how long, and who decides. Students may also write a two-paragraph public comment on the resolution and submit it to a classroom comment file.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Silverbrook Charge a Stormwater Fee by Hard Surface?</w:t>
      </w:r>
    </w:p>
    <w:p>
      <w:pPr>
        <w:keepNext/>
        <w:spacing w:after="160"/>
      </w:pPr>
      <w:r>
        <w:rPr>
          <w:color w:val="5B6B70"/>
          <w:sz w:val="20"/>
          <w:szCs w:val="20"/>
        </w:rPr>
        <w:t xml:space="preserve">Grade 6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fictional city of Silverbrook should replace the flat storm drain charge on its water bill with a fee based on each property's hard surface area.</w:t>
      </w:r>
    </w:p>
    <w:p>
      <w:pPr>
        <w:spacing w:after="120" w:line="276"/>
      </w:pPr>
      <w:r>
        <w:rPr>
          <w:b/>
          <w:bCs/>
          <w:sz w:val="22"/>
          <w:szCs w:val="22"/>
        </w:rPr>
        <w:t xml:space="preserve">What the argument is about.</w:t>
      </w:r>
      <w:r>
        <w:rPr>
          <w:sz w:val="22"/>
          <w:szCs w:val="22"/>
        </w:rPr>
        <w:t xml:space="preserve"> When rain falls on grass or soil, much of it soaks in. When rain falls on a roof, a driveway, or a parking lot, almost all of it runs off. That runoff goes into storm drains, which carry it to Silverbrook Creek. The pipes, inlets, and ponds that handle the runoff cost money to build, clean, and repair.</w:t>
      </w:r>
    </w:p>
    <w:p>
      <w:pPr>
        <w:spacing w:after="120" w:line="276"/>
      </w:pPr>
      <w:r>
        <w:rPr>
          <w:sz w:val="22"/>
          <w:szCs w:val="22"/>
        </w:rPr>
        <w:t xml:space="preserve">Silverbrook now pays for that system with a flat charge of $3 a month on every water bill. Every account pays the same amount. A small house pays $3, and so does a shopping center with a six-acre parking lot.</w:t>
      </w:r>
    </w:p>
    <w:p>
      <w:pPr>
        <w:spacing w:after="120" w:line="276"/>
      </w:pPr>
      <w:r>
        <w:rPr>
          <w:sz w:val="22"/>
          <w:szCs w:val="22"/>
        </w:rPr>
        <w:t xml:space="preserve">Under the proposed change, the city would measure the hard surface on each property from aerial photographs. Each property would then pay by the square foot of roof and pavement. A typical home would pay about $4 a month. A large store with a big lot would pay much more. Properties that install rain gardens or permeable pavement could apply for a credit that lowers the bill.</w:t>
      </w:r>
    </w:p>
    <w:p>
      <w:pPr>
        <w:spacing w:after="120" w:line="276"/>
      </w:pPr>
      <w:r>
        <w:rPr>
          <w:b/>
          <w:bCs/>
          <w:sz w:val="22"/>
          <w:szCs w:val="22"/>
        </w:rPr>
        <w:t xml:space="preserve">Roles.</w:t>
      </w:r>
      <w:r>
        <w:rPr>
          <w:sz w:val="22"/>
          <w:szCs w:val="22"/>
        </w:rPr>
        <w:t xml:space="preserve"> Divide the class into two teams of four to six. Team A argues for the hard surface fee. Team B argues against it. Choose one moderator to keep time and three judges to score with the rubric. Everyone else prepares questions for the question round. Session one ends with each team's opening statement written out and its rebuttal points drafted on note cards.</w:t>
      </w:r>
    </w:p>
    <w:p>
      <w:pPr>
        <w:spacing w:after="120" w:line="276"/>
      </w:pPr>
      <w:r>
        <w:rPr>
          <w:b/>
          <w:bCs/>
          <w:sz w:val="22"/>
          <w:szCs w:val="22"/>
        </w:rPr>
        <w:t xml:space="preserve">Format.</w:t>
      </w:r>
      <w:r>
        <w:rPr>
          <w:sz w:val="22"/>
          <w:szCs w:val="22"/>
        </w:rPr>
        <w:t xml:space="preserve"> Opening statement, four minutes per team. Question round, six minutes, with each team asking and answering. Preparation break, three minutes. Closing statement, three minutes per team. The judges score during the closings and report before the debrief.</w:t>
      </w:r>
    </w:p>
    <w:p>
      <w:pPr>
        <w:pStyle w:val="Heading2"/>
        <w:keepNext/>
        <w:keepLines/>
      </w:pPr>
      <w:r>
        <w:rPr>
          <w:sz w:val="28"/>
          <w:szCs w:val="28"/>
        </w:rPr>
        <w:t xml:space="preserve">Evidence File</w:t>
      </w:r>
    </w:p>
    <w:p>
      <w:pPr>
        <w:pStyle w:val="Heading3"/>
        <w:keepNext/>
        <w:keepLines/>
      </w:pPr>
      <w:r>
        <w:rPr>
          <w:sz w:val="24"/>
          <w:szCs w:val="24"/>
        </w:rPr>
        <w:t xml:space="preserve">Case for the hard surface fee</w:t>
      </w:r>
    </w:p>
    <w:p>
      <w:pPr>
        <w:pStyle w:val="ListParagraph"/>
        <w:keepLines/>
        <w:numPr>
          <w:ilvl w:val="0"/>
          <w:numId w:val="3"/>
        </w:numPr>
        <w:spacing w:after="60" w:line="276"/>
        <w:ind w:left="720" w:hanging="360"/>
      </w:pPr>
      <w:r>
        <w:rPr>
          <w:sz w:val="22"/>
          <w:szCs w:val="22"/>
        </w:rPr>
        <w:t xml:space="preserve">Runoff comes from hard surfaces, so a fee based on hard surface charges each property for what it actually sends to the drains. A flat charge does not. (Reasoning point, no outside source needed.)</w:t>
      </w:r>
    </w:p>
    <w:p>
      <w:pPr>
        <w:pStyle w:val="ListParagraph"/>
        <w:keepLines/>
        <w:numPr>
          <w:ilvl w:val="0"/>
          <w:numId w:val="3"/>
        </w:numPr>
        <w:spacing w:after="60" w:line="276"/>
        <w:ind w:left="720" w:hanging="360"/>
      </w:pPr>
      <w:r>
        <w:rPr>
          <w:sz w:val="22"/>
          <w:szCs w:val="22"/>
        </w:rPr>
        <w:t xml:space="preserve">Under the flat charge in the fictional city of Silverbrook, a small house and a shopping center each pay $3 a month, even though the store's parking lot sheds far more water in a storm. (Fictional Silverbrook rate schedule, written for this kit.)</w:t>
      </w:r>
    </w:p>
    <w:p>
      <w:pPr>
        <w:pStyle w:val="ListParagraph"/>
        <w:keepLines/>
        <w:numPr>
          <w:ilvl w:val="0"/>
          <w:numId w:val="3"/>
        </w:numPr>
        <w:spacing w:after="60" w:line="276"/>
        <w:ind w:left="720" w:hanging="360"/>
      </w:pPr>
      <w:r>
        <w:rPr>
          <w:sz w:val="22"/>
          <w:szCs w:val="22"/>
        </w:rPr>
        <w:t xml:space="preserve">Churches, private schools, and government buildings pay no property tax, so they now pay almost nothing toward the drains. A fee is charged to every property, so those large roofs and lots would pay a share. (Reasoning point about how fees differ from taxes.)</w:t>
      </w:r>
    </w:p>
    <w:p>
      <w:pPr>
        <w:pStyle w:val="ListParagraph"/>
        <w:keepLines/>
        <w:numPr>
          <w:ilvl w:val="0"/>
          <w:numId w:val="3"/>
        </w:numPr>
        <w:spacing w:after="60" w:line="276"/>
        <w:ind w:left="720" w:hanging="360"/>
      </w:pPr>
      <w:r>
        <w:rPr>
          <w:sz w:val="22"/>
          <w:szCs w:val="22"/>
        </w:rPr>
        <w:t xml:space="preserve">The fee comes with credits. A property owner who adds a rain garden, a cistern, or permeable pavement can apply for a lower bill, so the fee gives people a reason to keep rain out of the pipes. (Fictional Silverbrook draft ordinance, written for this kit.)</w:t>
      </w:r>
    </w:p>
    <w:p>
      <w:pPr>
        <w:pStyle w:val="ListParagraph"/>
        <w:keepLines/>
        <w:numPr>
          <w:ilvl w:val="0"/>
          <w:numId w:val="3"/>
        </w:numPr>
        <w:spacing w:after="60" w:line="276"/>
        <w:ind w:left="720" w:hanging="360"/>
      </w:pPr>
      <w:r>
        <w:rPr>
          <w:sz w:val="22"/>
          <w:szCs w:val="22"/>
        </w:rPr>
        <w:t xml:space="preserve">Buried water infrastructure across the country has been underfunded for years. The ASCE 2025 Report Card gave US wastewater a grade of D plus and drinking water a C minus. (Source: ASCE 2025 Report Card for America's Infrastructure.)</w:t>
      </w:r>
    </w:p>
    <w:p>
      <w:pPr>
        <w:pStyle w:val="ListParagraph"/>
        <w:keepLines/>
        <w:numPr>
          <w:ilvl w:val="0"/>
          <w:numId w:val="3"/>
        </w:numPr>
        <w:spacing w:after="60" w:line="276"/>
        <w:ind w:left="720" w:hanging="360"/>
      </w:pPr>
      <w:r>
        <w:rPr>
          <w:sz w:val="22"/>
          <w:szCs w:val="22"/>
        </w:rPr>
        <w:t xml:space="preserve">In the fictional city of Silverbrook, the storm drain fund has finished each of the last three years short of what the crews needed, and two streets flood in most heavy storms. (Fictional Silverbrook public works report, written for this kit.)</w:t>
      </w:r>
    </w:p>
    <w:p>
      <w:pPr>
        <w:spacing w:after="40" w:before="0" w:line="120" w:lineRule="exact"/>
      </w:pPr>
    </w:p>
    <w:p>
      <w:pPr>
        <w:pStyle w:val="Heading3"/>
        <w:keepNext/>
        <w:keepLines/>
      </w:pPr>
      <w:r>
        <w:rPr>
          <w:sz w:val="24"/>
          <w:szCs w:val="24"/>
        </w:rPr>
        <w:t xml:space="preserve">Case against the hard surface fee</w:t>
      </w:r>
    </w:p>
    <w:p>
      <w:pPr>
        <w:pStyle w:val="ListParagraph"/>
        <w:keepLines/>
        <w:numPr>
          <w:ilvl w:val="0"/>
          <w:numId w:val="4"/>
        </w:numPr>
        <w:spacing w:after="60" w:line="276"/>
        <w:ind w:left="720" w:hanging="360"/>
      </w:pPr>
      <w:r>
        <w:rPr>
          <w:sz w:val="22"/>
          <w:szCs w:val="22"/>
        </w:rPr>
        <w:t xml:space="preserve">Water costs are already climbing. Combined US water and sewer bills rose about 24 percent from 2019 to 2024 and about 5.1 percent in 2025, faster than prices in general. A new charge lands on top of that. (Source: Bluefield Research and industry rate surveys.)</w:t>
      </w:r>
    </w:p>
    <w:p>
      <w:pPr>
        <w:pStyle w:val="ListParagraph"/>
        <w:keepLines/>
        <w:numPr>
          <w:ilvl w:val="0"/>
          <w:numId w:val="4"/>
        </w:numPr>
        <w:spacing w:after="60" w:line="276"/>
        <w:ind w:left="720" w:hanging="360"/>
      </w:pPr>
      <w:r>
        <w:rPr>
          <w:sz w:val="22"/>
          <w:szCs w:val="22"/>
        </w:rPr>
        <w:t xml:space="preserve">A widely used rule of thumb, based on two EPA guidelines, treats combined water and sewer costs above about 4.5 percent of household income as a high burden. Families near that line feel every added charge. (Source: EPA Water Affordability Needs Assessment, 2024.)</w:t>
      </w:r>
    </w:p>
    <w:p>
      <w:pPr>
        <w:pStyle w:val="ListParagraph"/>
        <w:keepLines/>
        <w:numPr>
          <w:ilvl w:val="0"/>
          <w:numId w:val="4"/>
        </w:numPr>
        <w:spacing w:after="60" w:line="276"/>
        <w:ind w:left="720" w:hanging="360"/>
      </w:pPr>
      <w:r>
        <w:rPr>
          <w:sz w:val="22"/>
          <w:szCs w:val="22"/>
        </w:rPr>
        <w:t xml:space="preserve">Large lots do not always belong to rich owners. In the fictional city of Silverbrook, the middle school and the food pantry would both move into the top ten bills, and money they spend on the fee is money not spent on students and meals. (Fictional Silverbrook impact estimate, written for this kit.)</w:t>
      </w:r>
    </w:p>
    <w:p>
      <w:pPr>
        <w:pStyle w:val="ListParagraph"/>
        <w:keepLines/>
        <w:numPr>
          <w:ilvl w:val="0"/>
          <w:numId w:val="4"/>
        </w:numPr>
        <w:spacing w:after="60" w:line="276"/>
        <w:ind w:left="720" w:hanging="360"/>
      </w:pPr>
      <w:r>
        <w:rPr>
          <w:sz w:val="22"/>
          <w:szCs w:val="22"/>
        </w:rPr>
        <w:t xml:space="preserve">The city already collects property taxes, and drains were paid from that fund for decades. Opponents say a separate fee is a tax under a different name, passed without a vote of the people. (Reasoning point about how cities raise money.)</w:t>
      </w:r>
    </w:p>
    <w:p>
      <w:pPr>
        <w:pStyle w:val="ListParagraph"/>
        <w:keepLines/>
        <w:numPr>
          <w:ilvl w:val="0"/>
          <w:numId w:val="4"/>
        </w:numPr>
        <w:spacing w:after="60" w:line="276"/>
        <w:ind w:left="720" w:hanging="360"/>
      </w:pPr>
      <w:r>
        <w:rPr>
          <w:sz w:val="22"/>
          <w:szCs w:val="22"/>
        </w:rPr>
        <w:t xml:space="preserve">Measuring every property costs money. The fictional Silverbrook estimate is $260,000 to map the city and set up billing, plus two years of staff time to handle appeals. That money does not fix a single pipe. (Fictional Silverbrook public works report, written for this kit.)</w:t>
      </w:r>
    </w:p>
    <w:p>
      <w:pPr>
        <w:pStyle w:val="ListParagraph"/>
        <w:keepLines/>
        <w:numPr>
          <w:ilvl w:val="0"/>
          <w:numId w:val="4"/>
        </w:numPr>
        <w:spacing w:after="60" w:line="276"/>
        <w:ind w:left="720" w:hanging="360"/>
      </w:pPr>
      <w:r>
        <w:rPr>
          <w:sz w:val="22"/>
          <w:szCs w:val="22"/>
        </w:rPr>
        <w:t xml:space="preserve">Renters do not receive the bill, so the credit for rain gardens does not reach them. Landlords may raise rent to cover the fee, which means tenants pay without gaining the choice the fee is supposed to offer. (Reasoning point about who receives a bill.)</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Silverbrook Charge a Stormwater Fee by Hard Surface?</w:t>
      </w:r>
    </w:p>
    <w:p>
      <w:pPr>
        <w:keepNext/>
        <w:spacing w:after="160"/>
      </w:pPr>
      <w:r>
        <w:rPr>
          <w:color w:val="5B6B70"/>
          <w:sz w:val="20"/>
          <w:szCs w:val="20"/>
        </w:rPr>
        <w:t xml:space="preserve">Debate kit · Grade 6 · Social Studies &amp; Civics</w:t>
      </w:r>
    </w:p>
    <w:p>
      <w:pPr>
        <w:keepNext/>
        <w:keepLines/>
        <w:spacing w:after="100" w:line="264"/>
      </w:pPr>
      <w:r>
        <w:rPr>
          <w:sz w:val="22"/>
          <w:szCs w:val="22"/>
        </w:rPr>
        <w:t xml:space="preserve">Judges score each team on four criteria, using the four levels below. Each criterion is worth up to 4 points, for a team total of 16.</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85"/>
        <w:gridCol w:w="2702"/>
        <w:gridCol w:w="3404"/>
        <w:gridCol w:w="368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Emerging</w:t>
            </w:r>
          </w:p>
        </w:tc>
        <w:tc>
          <w:tcPr>
            <w:tcW w:type="dxa" w:w="27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36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385"/>
            <w:tcMar>
              <w:top w:type="dxa" w:w="70"/>
              <w:left w:type="dxa" w:w="100"/>
              <w:bottom w:type="dxa" w:w="70"/>
              <w:right w:type="dxa" w:w="100"/>
            </w:tcMar>
            <w:vAlign w:val="top"/>
          </w:tcPr>
          <w:p>
            <w:pPr>
              <w:keepNext/>
              <w:spacing w:after="0" w:line="252"/>
              <w:jc w:val="left"/>
            </w:pPr>
            <w:r>
              <w:rPr>
                <w:sz w:val="20"/>
                <w:szCs w:val="20"/>
              </w:rPr>
              <w:t xml:space="preserve">Refers to the topic without naming any evidence from the file.</w:t>
            </w:r>
          </w:p>
        </w:tc>
        <w:tc>
          <w:tcPr>
            <w:tcW w:type="dxa" w:w="2702"/>
            <w:tcMar>
              <w:top w:type="dxa" w:w="70"/>
              <w:left w:type="dxa" w:w="100"/>
              <w:bottom w:type="dxa" w:w="70"/>
              <w:right w:type="dxa" w:w="100"/>
            </w:tcMar>
            <w:vAlign w:val="top"/>
          </w:tcPr>
          <w:p>
            <w:pPr>
              <w:keepNext/>
              <w:spacing w:after="0" w:line="252"/>
              <w:jc w:val="left"/>
            </w:pPr>
            <w:r>
              <w:rPr>
                <w:sz w:val="20"/>
                <w:szCs w:val="20"/>
              </w:rPr>
              <w:t xml:space="preserve">Names one point from the file but does not connect it to the claim.</w:t>
            </w:r>
          </w:p>
        </w:tc>
        <w:tc>
          <w:tcPr>
            <w:tcW w:type="dxa" w:w="3404"/>
            <w:tcMar>
              <w:top w:type="dxa" w:w="70"/>
              <w:left w:type="dxa" w:w="100"/>
              <w:bottom w:type="dxa" w:w="70"/>
              <w:right w:type="dxa" w:w="100"/>
            </w:tcMar>
            <w:vAlign w:val="top"/>
          </w:tcPr>
          <w:p>
            <w:pPr>
              <w:keepNext/>
              <w:spacing w:after="0" w:line="252"/>
              <w:jc w:val="left"/>
            </w:pPr>
            <w:r>
              <w:rPr>
                <w:sz w:val="20"/>
                <w:szCs w:val="20"/>
              </w:rPr>
              <w:t xml:space="preserve">Uses at least two points from the file and explains how each supports the claim.</w:t>
            </w:r>
          </w:p>
        </w:tc>
        <w:tc>
          <w:tcPr>
            <w:tcW w:type="dxa" w:w="3681"/>
            <w:tcMar>
              <w:top w:type="dxa" w:w="70"/>
              <w:left w:type="dxa" w:w="100"/>
              <w:bottom w:type="dxa" w:w="70"/>
              <w:right w:type="dxa" w:w="100"/>
            </w:tcMar>
            <w:vAlign w:val="top"/>
          </w:tcPr>
          <w:p>
            <w:pPr>
              <w:keepNext/>
              <w:spacing w:after="0" w:line="252"/>
              <w:jc w:val="left"/>
            </w:pPr>
            <w:r>
              <w:rPr>
                <w:sz w:val="20"/>
                <w:szCs w:val="20"/>
              </w:rPr>
              <w:t xml:space="preserve">Uses three or more points, names each source, and explains why the strongest one matters most.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w:t>
            </w:r>
          </w:p>
        </w:tc>
        <w:tc>
          <w:tcPr>
            <w:tcW w:type="dxa" w:w="2385"/>
            <w:tcMar>
              <w:top w:type="dxa" w:w="70"/>
              <w:left w:type="dxa" w:w="100"/>
              <w:bottom w:type="dxa" w:w="70"/>
              <w:right w:type="dxa" w:w="100"/>
            </w:tcMar>
            <w:vAlign w:val="top"/>
          </w:tcPr>
          <w:p>
            <w:pPr>
              <w:keepNext/>
              <w:spacing w:after="0" w:line="252"/>
              <w:jc w:val="left"/>
            </w:pPr>
            <w:r>
              <w:rPr>
                <w:sz w:val="20"/>
                <w:szCs w:val="20"/>
              </w:rPr>
              <w:t xml:space="preserve">Does not respond to the other team.</w:t>
            </w:r>
          </w:p>
        </w:tc>
        <w:tc>
          <w:tcPr>
            <w:tcW w:type="dxa" w:w="2702"/>
            <w:tcMar>
              <w:top w:type="dxa" w:w="70"/>
              <w:left w:type="dxa" w:w="100"/>
              <w:bottom w:type="dxa" w:w="70"/>
              <w:right w:type="dxa" w:w="100"/>
            </w:tcMar>
            <w:vAlign w:val="top"/>
          </w:tcPr>
          <w:p>
            <w:pPr>
              <w:keepNext/>
              <w:spacing w:after="0" w:line="252"/>
              <w:jc w:val="left"/>
            </w:pPr>
            <w:r>
              <w:rPr>
                <w:sz w:val="20"/>
                <w:szCs w:val="20"/>
              </w:rPr>
              <w:t xml:space="preserve">Mentions the other team's point but changes the subject.</w:t>
            </w:r>
          </w:p>
        </w:tc>
        <w:tc>
          <w:tcPr>
            <w:tcW w:type="dxa" w:w="3404"/>
            <w:tcMar>
              <w:top w:type="dxa" w:w="70"/>
              <w:left w:type="dxa" w:w="100"/>
              <w:bottom w:type="dxa" w:w="70"/>
              <w:right w:type="dxa" w:w="100"/>
            </w:tcMar>
            <w:vAlign w:val="top"/>
          </w:tcPr>
          <w:p>
            <w:pPr>
              <w:keepNext/>
              <w:spacing w:after="0" w:line="252"/>
              <w:jc w:val="left"/>
            </w:pPr>
            <w:r>
              <w:rPr>
                <w:sz w:val="20"/>
                <w:szCs w:val="20"/>
              </w:rPr>
              <w:t xml:space="preserve">Restates the other team's strongest point accurately and answers it.</w:t>
            </w:r>
          </w:p>
        </w:tc>
        <w:tc>
          <w:tcPr>
            <w:tcW w:type="dxa" w:w="3681"/>
            <w:tcMar>
              <w:top w:type="dxa" w:w="70"/>
              <w:left w:type="dxa" w:w="100"/>
              <w:bottom w:type="dxa" w:w="70"/>
              <w:right w:type="dxa" w:w="100"/>
            </w:tcMar>
            <w:vAlign w:val="top"/>
          </w:tcPr>
          <w:p>
            <w:pPr>
              <w:keepNext/>
              <w:spacing w:after="0" w:line="252"/>
              <w:jc w:val="left"/>
            </w:pPr>
            <w:r>
              <w:rPr>
                <w:sz w:val="20"/>
                <w:szCs w:val="20"/>
              </w:rPr>
              <w:t xml:space="preserve">Answers the strongest point and shows why the answer holds even if part of it is granted.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 and delivery</w:t>
            </w:r>
          </w:p>
        </w:tc>
        <w:tc>
          <w:tcPr>
            <w:tcW w:type="dxa" w:w="2385"/>
            <w:tcMar>
              <w:top w:type="dxa" w:w="70"/>
              <w:left w:type="dxa" w:w="100"/>
              <w:bottom w:type="dxa" w:w="70"/>
              <w:right w:type="dxa" w:w="100"/>
            </w:tcMar>
            <w:vAlign w:val="top"/>
          </w:tcPr>
          <w:p>
            <w:pPr>
              <w:keepNext/>
              <w:spacing w:after="0" w:line="252"/>
              <w:jc w:val="left"/>
            </w:pPr>
            <w:r>
              <w:rPr>
                <w:sz w:val="20"/>
                <w:szCs w:val="20"/>
              </w:rPr>
              <w:t xml:space="preserve">Statement is hard to follow and runs past time.</w:t>
            </w:r>
          </w:p>
        </w:tc>
        <w:tc>
          <w:tcPr>
            <w:tcW w:type="dxa" w:w="2702"/>
            <w:tcMar>
              <w:top w:type="dxa" w:w="70"/>
              <w:left w:type="dxa" w:w="100"/>
              <w:bottom w:type="dxa" w:w="70"/>
              <w:right w:type="dxa" w:w="100"/>
            </w:tcMar>
            <w:vAlign w:val="top"/>
          </w:tcPr>
          <w:p>
            <w:pPr>
              <w:keepNext/>
              <w:spacing w:after="0" w:line="252"/>
              <w:jc w:val="left"/>
            </w:pPr>
            <w:r>
              <w:rPr>
                <w:sz w:val="20"/>
                <w:szCs w:val="20"/>
              </w:rPr>
              <w:t xml:space="preserve">Statement has a beginning and end but wanders in the middle.</w:t>
            </w:r>
          </w:p>
        </w:tc>
        <w:tc>
          <w:tcPr>
            <w:tcW w:type="dxa" w:w="3404"/>
            <w:tcMar>
              <w:top w:type="dxa" w:w="70"/>
              <w:left w:type="dxa" w:w="100"/>
              <w:bottom w:type="dxa" w:w="70"/>
              <w:right w:type="dxa" w:w="100"/>
            </w:tcMar>
            <w:vAlign w:val="top"/>
          </w:tcPr>
          <w:p>
            <w:pPr>
              <w:keepNext/>
              <w:spacing w:after="0" w:line="252"/>
              <w:jc w:val="left"/>
            </w:pPr>
            <w:r>
              <w:rPr>
                <w:sz w:val="20"/>
                <w:szCs w:val="20"/>
              </w:rPr>
              <w:t xml:space="preserve">Statement is clear, ordered, and finishes within time.</w:t>
            </w:r>
          </w:p>
        </w:tc>
        <w:tc>
          <w:tcPr>
            <w:tcW w:type="dxa" w:w="3681"/>
            <w:tcMar>
              <w:top w:type="dxa" w:w="70"/>
              <w:left w:type="dxa" w:w="100"/>
              <w:bottom w:type="dxa" w:w="70"/>
              <w:right w:type="dxa" w:w="100"/>
            </w:tcMar>
            <w:vAlign w:val="top"/>
          </w:tcPr>
          <w:p>
            <w:pPr>
              <w:keepNext/>
              <w:spacing w:after="0" w:line="252"/>
              <w:jc w:val="left"/>
            </w:pPr>
            <w:r>
              <w:rPr>
                <w:sz w:val="20"/>
                <w:szCs w:val="20"/>
              </w:rPr>
              <w:t xml:space="preserve">Statement is clear and ordered, finishes within time, and uses signposting so listeners can track each reason.</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Use of the process</w:t>
            </w:r>
          </w:p>
        </w:tc>
        <w:tc>
          <w:tcPr>
            <w:tcW w:type="dxa" w:w="2385"/>
            <w:tcMar>
              <w:top w:type="dxa" w:w="70"/>
              <w:left w:type="dxa" w:w="100"/>
              <w:bottom w:type="dxa" w:w="70"/>
              <w:right w:type="dxa" w:w="100"/>
            </w:tcMar>
            <w:vAlign w:val="top"/>
          </w:tcPr>
          <w:p>
            <w:pPr>
              <w:spacing w:after="0" w:line="252"/>
              <w:jc w:val="left"/>
            </w:pPr>
            <w:r>
              <w:rPr>
                <w:sz w:val="20"/>
                <w:szCs w:val="20"/>
              </w:rPr>
              <w:t xml:space="preserve">Speaks out of turn or ignores the moderator.</w:t>
            </w:r>
          </w:p>
        </w:tc>
        <w:tc>
          <w:tcPr>
            <w:tcW w:type="dxa" w:w="2702"/>
            <w:tcMar>
              <w:top w:type="dxa" w:w="70"/>
              <w:left w:type="dxa" w:w="100"/>
              <w:bottom w:type="dxa" w:w="70"/>
              <w:right w:type="dxa" w:w="100"/>
            </w:tcMar>
            <w:vAlign w:val="top"/>
          </w:tcPr>
          <w:p>
            <w:pPr>
              <w:spacing w:after="0" w:line="252"/>
              <w:jc w:val="left"/>
            </w:pPr>
            <w:r>
              <w:rPr>
                <w:sz w:val="20"/>
                <w:szCs w:val="20"/>
              </w:rPr>
              <w:t xml:space="preserve">Follows the format with reminders.</w:t>
            </w:r>
          </w:p>
        </w:tc>
        <w:tc>
          <w:tcPr>
            <w:tcW w:type="dxa" w:w="3404"/>
            <w:tcMar>
              <w:top w:type="dxa" w:w="70"/>
              <w:left w:type="dxa" w:w="100"/>
              <w:bottom w:type="dxa" w:w="70"/>
              <w:right w:type="dxa" w:w="100"/>
            </w:tcMar>
            <w:vAlign w:val="top"/>
          </w:tcPr>
          <w:p>
            <w:pPr>
              <w:spacing w:after="0" w:line="252"/>
              <w:jc w:val="left"/>
            </w:pPr>
            <w:r>
              <w:rPr>
                <w:sz w:val="20"/>
                <w:szCs w:val="20"/>
              </w:rPr>
              <w:t xml:space="preserve">Follows the format, asks one relevant question, and listens without interrupting.</w:t>
            </w:r>
          </w:p>
        </w:tc>
        <w:tc>
          <w:tcPr>
            <w:tcW w:type="dxa" w:w="3681"/>
            <w:tcMar>
              <w:top w:type="dxa" w:w="70"/>
              <w:left w:type="dxa" w:w="100"/>
              <w:bottom w:type="dxa" w:w="70"/>
              <w:right w:type="dxa" w:w="100"/>
            </w:tcMar>
            <w:vAlign w:val="top"/>
          </w:tcPr>
          <w:p>
            <w:pPr>
              <w:spacing w:after="0" w:line="252"/>
              <w:jc w:val="left"/>
            </w:pPr>
            <w:r>
              <w:rPr>
                <w:sz w:val="20"/>
                <w:szCs w:val="20"/>
              </w:rPr>
              <w:t xml:space="preserve">Follows the format, asks a question that draws out new information, and credits an opposing point fairly.</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Silverbrook Charge a Stormwater Fee by Hard Surface?</dc:title>
  <dc:subject>Debate kit · Grade 6 · Social Studies &amp; Civics</dc:subject>
  <dc:creator>Water for Schools</dc:creator>
  <cp:keywords>Debate kit, Grade 6, Social Studies &amp; Civics</cp:keywords>
  <dc:description>A two-session grade 6 debate kit on whether a fictional city should bill each property for storm drains by roof and pavement area, with two-sided evidence.</dc:description>
  <cp:lastModifiedBy>Water for Schools</cp:lastModifiedBy>
  <cp:revision>1</cp:revision>
  <dcterms:created xsi:type="dcterms:W3CDTF">2026-10-19T16:29:28.391Z</dcterms:created>
  <dcterms:modified xsi:type="dcterms:W3CDTF">2026-10-19T16:29:28.391Z</dcterms:modified>
</cp:coreProperties>
</file>

<file path=docProps/custom.xml><?xml version="1.0" encoding="utf-8"?>
<Properties xmlns="http://schemas.openxmlformats.org/officeDocument/2006/custom-properties" xmlns:vt="http://schemas.openxmlformats.org/officeDocument/2006/docPropsVTypes"/>
</file>