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Ledburn Mills Sanitation Petition of 1897</w:t>
      </w:r>
    </w:p>
    <w:p>
      <w:pPr>
        <w:keepNext/>
        <w:spacing w:after="160"/>
      </w:pPr>
      <w:r>
        <w:rPr>
          <w:color w:val="5B6B70"/>
          <w:sz w:val="20"/>
          <w:szCs w:val="20"/>
        </w:rPr>
        <w:t xml:space="preserve">Lesson plan · Grade 6 · Social Studies &amp; Civics</w:t>
      </w:r>
    </w:p>
    <w:p>
      <w:pPr>
        <w:spacing w:after="100" w:line="264"/>
      </w:pPr>
      <w:r>
        <w:rPr>
          <w:i/>
          <w:iCs/>
          <w:color w:val="12333F"/>
          <w:sz w:val="22"/>
          <w:szCs w:val="22"/>
        </w:rPr>
        <w:t xml:space="preserve">Grade 6 students compare an 1897 mill-town petition with a present-day letter about sewer overflows, then explain how each group pressed its town for change.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both documents (one set per student)</w:t>
            </w:r>
          </w:p>
          <w:p>
            <w:pPr>
              <w:spacing w:after="0"/>
            </w:pPr>
            <w:r>
              <w:rPr>
                <w:sz w:val="20"/>
                <w:szCs w:val="20"/>
              </w:rPr>
              <w:t xml:space="preserve">• Comparison chart printed or drawn on paper</w:t>
            </w:r>
          </w:p>
          <w:p>
            <w:pPr>
              <w:spacing w:after="0"/>
            </w:pPr>
            <w:r>
              <w:rPr>
                <w:sz w:val="20"/>
                <w:szCs w:val="20"/>
              </w:rPr>
              <w:t xml:space="preserve">• Highlighters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methods each group used to press its town for cleaner water.</w:t>
      </w:r>
    </w:p>
    <w:p>
      <w:pPr>
        <w:pStyle w:val="ListParagraph"/>
        <w:keepNext/>
        <w:keepLines/>
        <w:numPr>
          <w:ilvl w:val="0"/>
          <w:numId w:val="2"/>
        </w:numPr>
        <w:spacing w:after="60" w:line="264"/>
        <w:ind w:left="720" w:hanging="360"/>
      </w:pPr>
      <w:r>
        <w:rPr>
          <w:sz w:val="22"/>
          <w:szCs w:val="22"/>
        </w:rPr>
        <w:t xml:space="preserve">Students will compare a historical reform campaign with a present-day one across author, audience, request, and evidence.</w:t>
      </w:r>
    </w:p>
    <w:p>
      <w:pPr>
        <w:pStyle w:val="ListParagraph"/>
        <w:keepLines/>
        <w:numPr>
          <w:ilvl w:val="0"/>
          <w:numId w:val="2"/>
        </w:numPr>
        <w:spacing w:after="60" w:line="264"/>
        <w:ind w:left="720" w:hanging="360"/>
      </w:pPr>
      <w:r>
        <w:rPr>
          <w:sz w:val="22"/>
          <w:szCs w:val="22"/>
        </w:rPr>
        <w:t xml:space="preserve">Students will write an explanatory paragraph that uses evidence from both documents.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D2.Civ.14.6-8 (C3 Framework)</w:t>
      </w:r>
      <w:r>
        <w:rPr>
          <w:sz w:val="22"/>
          <w:szCs w:val="22"/>
        </w:rPr>
        <w:t xml:space="preserve">: Compare historical and contemporary means of changing societies, and promoting the common good.</w:t>
      </w:r>
    </w:p>
    <w:p>
      <w:pPr>
        <w:spacing w:after="100" w:line="264"/>
        <w:ind w:left="360"/>
      </w:pPr>
      <w:r>
        <w:rPr>
          <w:i/>
          <w:iCs/>
          <w:color w:val="5B6B70"/>
          <w:sz w:val="20"/>
          <w:szCs w:val="20"/>
        </w:rPr>
        <w:t xml:space="preserve">How this material addresses it: Students compare an 1897 petition campaign with a present-day neighborhood letter, naming the tools each group used to push its town toward cleaner water for everyone.</w:t>
      </w:r>
    </w:p>
    <w:p>
      <w:pPr>
        <w:keepNext/>
        <w:spacing w:after="40" w:line="264"/>
      </w:pPr>
      <w:r>
        <w:rPr>
          <w:b/>
          <w:bCs/>
          <w:sz w:val="22"/>
          <w:szCs w:val="22"/>
        </w:rPr>
        <w:t xml:space="preserve">WHST.6-8.2 (Common Core ELA)</w:t>
      </w:r>
      <w:r>
        <w:rPr>
          <w:sz w:val="22"/>
          <w:szCs w:val="22"/>
        </w:rPr>
        <w:t xml:space="preserve">: Write informative/explanatory texts, including the narration of historical events, scientific procedures/experiments, or technical processes.</w:t>
      </w:r>
    </w:p>
    <w:p>
      <w:pPr>
        <w:spacing w:after="100" w:line="264"/>
        <w:ind w:left="360"/>
      </w:pPr>
      <w:r>
        <w:rPr>
          <w:i/>
          <w:iCs/>
          <w:color w:val="5B6B70"/>
          <w:sz w:val="20"/>
          <w:szCs w:val="20"/>
        </w:rPr>
        <w:t xml:space="preserve">How this material addresses it: Students write an explanatory paragraph that recounts an 1897 campaign alongside a present-day one, organized by who wrote each document, who received it, what it asked for, and what evidence it offered.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petition, sanitation, sewer overflow, public health, reform</w:t>
      </w:r>
    </w:p>
    <w:p>
      <w:pPr>
        <w:pStyle w:val="Heading2"/>
        <w:keepNext/>
        <w:keepLines/>
      </w:pPr>
      <w:r>
        <w:rPr>
          <w:sz w:val="28"/>
          <w:szCs w:val="28"/>
        </w:rPr>
        <w:t xml:space="preserve">Teacher overview</w:t>
      </w:r>
    </w:p>
    <w:p>
      <w:pPr>
        <w:spacing w:after="100" w:line="264"/>
      </w:pPr>
      <w:r>
        <w:rPr>
          <w:sz w:val="22"/>
          <w:szCs w:val="22"/>
        </w:rPr>
        <w:t xml:space="preserve">In the late nineteenth century many American mill towns sent raw sewage straight into the nearest river, and residents who wanted that changed had to organize to get it changed. This lesson pairs two documents written for this resource, a fictional 1897 petition from mill workers and a fictional letter from a present-day neighborhood group, so students can compare the tools ordinary residents use when they want a water problem fixed. The lesson keeps the comparison concrete by asking who each group wrote to, what each group asked for, and what each group could offer as proof. Teachers should note that the sewage problem is not settled history: the ASCE 2025 Report Card gave US wastewater a D+, and combined sewers still overflow into rivers during heavy rain.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where the water goes after it leaves a sink or a toilet, and record answers without correcting them. Then tell them that for most of the 1800s the honest answer in a mill town was "into the river, untreated." Ask what a resident who objected could actually do about it in 1897, and hold the question open.</w:t>
      </w:r>
    </w:p>
    <w:p>
      <w:pPr>
        <w:spacing w:after="100" w:line="264"/>
      </w:pPr>
      <w:r>
        <w:rPr>
          <w:b/>
          <w:bCs/>
          <w:sz w:val="22"/>
          <w:szCs w:val="22"/>
        </w:rPr>
        <w:t xml:space="preserve">Reading document A (12 min):</w:t>
      </w:r>
      <w:r>
        <w:rPr>
          <w:sz w:val="22"/>
          <w:szCs w:val="22"/>
        </w:rPr>
        <w:t xml:space="preserve"> Students read the 1897 petition on the handout and highlight two things in two colors: what the petitioners asked for in one color, and what they offered as evidence in another. Circulate and check that students separate the request from the evidence, since sixth graders often mark the whole document as one long complaint.</w:t>
      </w:r>
    </w:p>
    <w:p>
      <w:pPr>
        <w:spacing w:after="100" w:line="264"/>
      </w:pPr>
      <w:r>
        <w:rPr>
          <w:b/>
          <w:bCs/>
          <w:sz w:val="22"/>
          <w:szCs w:val="22"/>
        </w:rPr>
        <w:t xml:space="preserve">Reading document B (12 min):</w:t>
      </w:r>
      <w:r>
        <w:rPr>
          <w:sz w:val="22"/>
          <w:szCs w:val="22"/>
        </w:rPr>
        <w:t xml:space="preserve"> Students read the present-day letter using the same two-color system. Ask them to note in the margin any tool the second group has that the first group did not, such as a utility report, a state permit, or an online map of overflow points.</w:t>
      </w:r>
    </w:p>
    <w:p>
      <w:pPr>
        <w:spacing w:after="100" w:line="264"/>
      </w:pPr>
      <w:r>
        <w:rPr>
          <w:b/>
          <w:bCs/>
          <w:sz w:val="22"/>
          <w:szCs w:val="22"/>
        </w:rPr>
        <w:t xml:space="preserve">Building the comparison (14 min):</w:t>
      </w:r>
      <w:r>
        <w:rPr>
          <w:sz w:val="22"/>
          <w:szCs w:val="22"/>
        </w:rPr>
        <w:t xml:space="preserve"> In pairs, students complete the comparison chart with four rows: who wrote it, who received it, what was asked for, and what evidence was offered. Then, as a whole class, take one row at a time and record the strongest answers on the board. Push students to name the pattern that both groups had to persuade a body that controls money, whether that body was a town council or a water district board.</w:t>
      </w:r>
    </w:p>
    <w:p>
      <w:pPr>
        <w:spacing w:after="100" w:line="264"/>
      </w:pPr>
      <w:r>
        <w:rPr>
          <w:b/>
          <w:bCs/>
          <w:sz w:val="22"/>
          <w:szCs w:val="22"/>
        </w:rPr>
        <w:t xml:space="preserve">Writing (9 min):</w:t>
      </w:r>
      <w:r>
        <w:rPr>
          <w:sz w:val="22"/>
          <w:szCs w:val="22"/>
        </w:rPr>
        <w:t xml:space="preserve"> Students answer handout question 5 in a single paragraph, using at least one detail from each document. Remind them that an explanatory paragraph reports what happened rather than arguing for a side.</w:t>
      </w:r>
    </w:p>
    <w:p>
      <w:pPr>
        <w:spacing w:after="100" w:line="264"/>
      </w:pPr>
      <w:r>
        <w:rPr>
          <w:b/>
          <w:bCs/>
          <w:sz w:val="22"/>
          <w:szCs w:val="22"/>
        </w:rPr>
        <w:t xml:space="preserve">Formative check and close (3 min):</w:t>
      </w:r>
      <w:r>
        <w:rPr>
          <w:sz w:val="22"/>
          <w:szCs w:val="22"/>
        </w:rPr>
        <w:t xml:space="preserve"> Collect the paragraphs at the door. Sort them into two piles: paragraphs that cite both documents, and paragraphs that cite one or neither. If fewer than three quarters of the class cites both, open the next class by modeling one sentence that quotes each document.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version of each document with the request sentence already underlined so students can concentrate on locating the evidence. Give these students a partly filled comparison chart with the "who wrote it" row completed, and allow the final paragraph to be drafted as three sentence frames before it is written as prose.</w:t>
      </w:r>
    </w:p>
    <w:p>
      <w:pPr>
        <w:pStyle w:val="Heading3"/>
        <w:keepNext/>
        <w:keepLines/>
      </w:pPr>
      <w:r>
        <w:rPr>
          <w:sz w:val="24"/>
          <w:szCs w:val="24"/>
        </w:rPr>
        <w:t xml:space="preserve">Extension</w:t>
      </w:r>
    </w:p>
    <w:p>
      <w:pPr>
        <w:spacing w:after="100" w:line="264"/>
      </w:pPr>
      <w:r>
        <w:rPr>
          <w:sz w:val="22"/>
          <w:szCs w:val="22"/>
        </w:rPr>
        <w:t xml:space="preserve">Ask students to write the reply the Ledburn Water District Board might send, explaining what the Board would need to know before moving a project to the top of a list. Students should name at least one competing demand the Board must weigh.</w:t>
      </w:r>
    </w:p>
    <w:p>
      <w:pPr>
        <w:pStyle w:val="Heading3"/>
        <w:keepNext/>
        <w:keepLines/>
      </w:pPr>
      <w:r>
        <w:rPr>
          <w:sz w:val="24"/>
          <w:szCs w:val="24"/>
        </w:rPr>
        <w:t xml:space="preserve">ELL supports</w:t>
      </w:r>
    </w:p>
    <w:p>
      <w:pPr>
        <w:spacing w:after="100" w:line="264"/>
      </w:pPr>
      <w:r>
        <w:rPr>
          <w:sz w:val="22"/>
          <w:szCs w:val="22"/>
        </w:rPr>
        <w:t xml:space="preserve">Pre-teach "petition," "privy," "sewer," "overflow," and "board" with simple labeled drawings, and note that "board" here means a group of people who decide, not a plank of wood. Provide a bilingual glossary card and sentence frames for the comparison chart: "Both groups asked for ___." and "Only the second group could show ___."</w:t>
      </w:r>
    </w:p>
    <w:p>
      <w:pPr>
        <w:pStyle w:val="Heading2"/>
        <w:keepNext/>
        <w:keepLines/>
      </w:pPr>
      <w:r>
        <w:rPr>
          <w:sz w:val="28"/>
          <w:szCs w:val="28"/>
        </w:rPr>
        <w:t xml:space="preserve">Extensions</w:t>
      </w:r>
    </w:p>
    <w:p>
      <w:pPr>
        <w:spacing w:after="100" w:line="264"/>
      </w:pPr>
      <w:r>
        <w:rPr>
          <w:sz w:val="22"/>
          <w:szCs w:val="22"/>
        </w:rPr>
        <w:t xml:space="preserve">Students can research how their own town or city handles sewage during heavy rain, using the utility's website and any published overflow notices, and then add a third column to the comparison chart for their community.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Ledburn Mills Sanitation Petition of 1897</w:t>
      </w:r>
    </w:p>
    <w:p>
      <w:pPr>
        <w:keepNext/>
        <w:spacing w:after="160"/>
      </w:pPr>
      <w:r>
        <w:rPr>
          <w:color w:val="5B6B70"/>
          <w:sz w:val="20"/>
          <w:szCs w:val="20"/>
        </w:rPr>
        <w:t xml:space="preserve">Grade 6 · Social Studies &amp; Civics</w:t>
      </w:r>
    </w:p>
    <w:p>
      <w:pPr>
        <w:pStyle w:val="Heading2"/>
        <w:keepNext/>
        <w:keepLines/>
      </w:pPr>
      <w:r>
        <w:rPr>
          <w:sz w:val="28"/>
          <w:szCs w:val="28"/>
        </w:rPr>
        <w:t xml:space="preserve">Student Handout</w:t>
      </w:r>
    </w:p>
    <w:p>
      <w:pPr>
        <w:spacing w:after="120" w:line="276"/>
      </w:pPr>
      <w:r>
        <w:rPr>
          <w:b/>
          <w:bCs/>
          <w:sz w:val="22"/>
          <w:szCs w:val="22"/>
        </w:rPr>
        <w:t xml:space="preserve">Document A: petition of the operatives of Ledburn Mills, presented to the Ledburn town council, March 1897.</w:t>
      </w:r>
      <w:r>
        <w:rPr>
          <w:sz w:val="22"/>
          <w:szCs w:val="22"/>
        </w:rPr>
        <w:t xml:space="preserve"> This document is fictional and was written for this lesson.</w:t>
      </w:r>
    </w:p>
    <w:p>
      <w:pPr>
        <w:spacing w:after="120" w:line="276"/>
      </w:pPr>
      <w:r>
        <w:rPr>
          <w:sz w:val="22"/>
          <w:szCs w:val="22"/>
        </w:rPr>
        <w:t xml:space="preserve">"To the Council of the Town of Ledburn. We, the undersigned, work in the mills along the Whitlow River and live in the houses on Ash Street and Canal Row. The privies behind our houses drain into the ditch that runs to the river. In August the ditch stands still and the smell reaches the schoolhouse. Since the spring, eleven children on our two streets have been kept home with fever, and Dr. Hallam has told us plainly that the ditch is the cause. We ask the Council to lay a covered sewer from Canal Row to the river below the mill, and to appoint a board of health with the power to inspect. We are prepared to attend the Council meeting on the last Monday of the month, and we are 214 signers."</w:t>
      </w:r>
    </w:p>
    <w:p>
      <w:pPr>
        <w:spacing w:after="120" w:line="276"/>
      </w:pPr>
      <w:r>
        <w:rPr>
          <w:b/>
          <w:bCs/>
          <w:sz w:val="22"/>
          <w:szCs w:val="22"/>
        </w:rPr>
        <w:t xml:space="preserve">Document B: letter from the Whitlow Street Neighbors to the Ledburn Water District Board, this year.</w:t>
      </w:r>
      <w:r>
        <w:rPr>
          <w:sz w:val="22"/>
          <w:szCs w:val="22"/>
        </w:rPr>
        <w:t xml:space="preserve"> This document is fictional and was written for this lesson.</w:t>
      </w:r>
    </w:p>
    <w:p>
      <w:pPr>
        <w:spacing w:after="120" w:line="276"/>
      </w:pPr>
      <w:r>
        <w:rPr>
          <w:sz w:val="22"/>
          <w:szCs w:val="22"/>
        </w:rPr>
        <w:t xml:space="preserve">"To the Board of the Ledburn Water District. Our neighborhood sits where Canal Row used to stand. Ledburn still runs a combined sewer here, which means that storm runoff and household sewage share one pipe. When a storm drops more than about an inch of rain, the pipe fills and the overflow discharges into the Whitlow River at the outfall behind the ballfield. We attach the District's own overflow log for last year, the state discharge permit, and photographs taken at the outfall after two storms. We ask the Board to place the Canal Row basin at the top of the sewer separation list and to post overflow alerts online within one hour. Forty-one households have signed this letter, and we have requested time for public comment at the June meeting."</w:t>
      </w:r>
    </w:p>
    <w:p>
      <w:pPr>
        <w:keepNext/>
        <w:keepLines/>
        <w:spacing w:after="120" w:line="276"/>
      </w:pPr>
      <w:r>
        <w:rPr>
          <w:sz w:val="22"/>
          <w:szCs w:val="22"/>
        </w:rPr>
        <w:t xml:space="preserve">Answer these questions using both documents.</w:t>
      </w:r>
    </w:p>
    <w:p>
      <w:pPr>
        <w:pStyle w:val="ListParagraph"/>
        <w:keepNext/>
        <w:keepLines/>
        <w:numPr>
          <w:ilvl w:val="0"/>
          <w:numId w:val="3"/>
        </w:numPr>
        <w:spacing w:after="100" w:line="276"/>
        <w:ind w:left="720" w:hanging="360"/>
      </w:pPr>
      <w:r>
        <w:rPr>
          <w:sz w:val="22"/>
          <w:szCs w:val="22"/>
        </w:rPr>
        <w:t xml:space="preserve">What did the 1897 petitioners ask the Council to do? List both requests.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evidence did the 1897 petitioners offer to support their request?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evidence does the present-day group offer that the 1897 group could not have offered?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Both groups wrote to a body that controls money and decisions. Name the body in each case.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one paragraph, explain how the two campaigns are alike and how they differ. Use at least one detail from each document.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Ledburn Mills Sanitation Petition of 1897</w:t>
      </w:r>
    </w:p>
    <w:p>
      <w:pPr>
        <w:keepNext/>
        <w:spacing w:after="160"/>
      </w:pPr>
      <w:r>
        <w:rPr>
          <w:color w:val="5B6B70"/>
          <w:sz w:val="20"/>
          <w:szCs w:val="20"/>
        </w:rPr>
        <w:t xml:space="preserve">Lesson plan · Grade 6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covered sewer and a board of health. The petition asks the Council to lay a covered sewer from Canal Row to the river below the mill, and to appoint a board of health with power to inspect.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Illness and firsthand observation. The petitioners report eleven children kept home with fever, the smell reaching the schoolhouse, a doctor's opinion naming the ditch, and 214 signatures.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Official records. The present-day group attaches the District's own overflow log and the state discharge permit, neither of which existed in 1897, along with photographs taken at the outfall.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town council and the water district board. In 1897 the petition went to the Town Council of Ledburn, and today the letter goes to the Ledburn Water District Board.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paragraph that names at least one similarity and one difference and quotes or paraphrases both documents. Common similarities include organizing neighbors, collecting signatures, naming a specific fix, and asking to speak at a meeting. Common differences include the use of public records and permits, the request for online alerts, and the shift from a fever outbreak to a permitted overflow point.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Ledburn Mills Sanitation Petition of 1897</dc:title>
  <dc:subject>Lesson plan · Grade 6 · Social Studies &amp; Civics</dc:subject>
  <dc:creator>Water for Schools</dc:creator>
  <cp:keywords>Lesson plan, Grade 6, Social Studies &amp; Civics</cp:keywords>
  <dc:description>Grade 6 students compare an 1897 mill-town petition with a present-day letter about sewer overflows, then explain how each group pressed its town for change.</dc:description>
  <cp:lastModifiedBy>Water for Schools</cp:lastModifiedBy>
  <cp:revision>1</cp:revision>
  <dcterms:created xsi:type="dcterms:W3CDTF">2026-10-19T16:29:28.447Z</dcterms:created>
  <dcterms:modified xsi:type="dcterms:W3CDTF">2026-10-19T16:29:28.447Z</dcterms:modified>
</cp:coreProperties>
</file>

<file path=docProps/custom.xml><?xml version="1.0" encoding="utf-8"?>
<Properties xmlns="http://schemas.openxmlformats.org/officeDocument/2006/custom-properties" xmlns:vt="http://schemas.openxmlformats.org/officeDocument/2006/docPropsVTypes"/>
</file>