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Coppleston County's Small Water Systems: A Consolidation Study</w:t>
      </w:r>
    </w:p>
    <w:p>
      <w:pPr>
        <w:keepNext/>
        <w:spacing w:after="160"/>
      </w:pPr>
      <w:r>
        <w:rPr>
          <w:color w:val="5B6B70"/>
          <w:sz w:val="20"/>
          <w:szCs w:val="20"/>
        </w:rPr>
        <w:t xml:space="preserve">Project · Grade 9 · Social Studies &amp; Civics</w:t>
      </w:r>
    </w:p>
    <w:p>
      <w:pPr>
        <w:spacing w:after="100" w:line="264"/>
      </w:pPr>
      <w:r>
        <w:rPr>
          <w:i/>
          <w:iCs/>
          <w:color w:val="12333F"/>
          <w:sz w:val="22"/>
          <w:szCs w:val="22"/>
        </w:rPr>
        <w:t xml:space="preserve">A five-session grade 9 project in which teams map six fictional county water systems, compare bill burdens, and recommend whether to form a regional authority.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county base map</w:t>
            </w:r>
          </w:p>
          <w:p>
            <w:pPr>
              <w:spacing w:after="0"/>
            </w:pPr>
            <w:r>
              <w:rPr>
                <w:sz w:val="20"/>
                <w:szCs w:val="20"/>
              </w:rPr>
              <w:t xml:space="preserve">• Spreadsheet or free mapping software</w:t>
            </w:r>
          </w:p>
          <w:p>
            <w:pPr>
              <w:spacing w:after="0"/>
            </w:pPr>
            <w:r>
              <w:rPr>
                <w:sz w:val="20"/>
                <w:szCs w:val="20"/>
              </w:rPr>
              <w:t xml:space="preserve">• Calculators</w:t>
            </w:r>
          </w:p>
          <w:p>
            <w:pPr>
              <w:spacing w:after="0"/>
            </w:pPr>
            <w:r>
              <w:rPr>
                <w:sz w:val="20"/>
                <w:szCs w:val="20"/>
              </w:rPr>
              <w:t xml:space="preserve">• Chart paper for the final brief</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system's annual water bill as a percentage of its median household income.</w:t>
      </w:r>
    </w:p>
    <w:p>
      <w:pPr>
        <w:pStyle w:val="ListParagraph"/>
        <w:keepNext/>
        <w:keepLines/>
        <w:numPr>
          <w:ilvl w:val="0"/>
          <w:numId w:val="2"/>
        </w:numPr>
        <w:spacing w:after="60" w:line="264"/>
        <w:ind w:left="720" w:hanging="360"/>
      </w:pPr>
      <w:r>
        <w:rPr>
          <w:sz w:val="22"/>
          <w:szCs w:val="22"/>
        </w:rPr>
        <w:t xml:space="preserve">Students will map the spatial pattern of water bill burden across a county.</w:t>
      </w:r>
    </w:p>
    <w:p>
      <w:pPr>
        <w:pStyle w:val="ListParagraph"/>
        <w:keepLines/>
        <w:numPr>
          <w:ilvl w:val="0"/>
          <w:numId w:val="2"/>
        </w:numPr>
        <w:spacing w:after="60" w:line="264"/>
        <w:ind w:left="720" w:hanging="360"/>
      </w:pPr>
      <w:r>
        <w:rPr>
          <w:sz w:val="22"/>
          <w:szCs w:val="22"/>
        </w:rPr>
        <w:t xml:space="preserve">Students will construct an argument for or against consolidation using added costs and added benefits.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Milestone 2 requires teams to shade a county map by bill burden and to write a caption explaining how each system's location relates to what its customers pay.</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Milestone 4 requires teams to argue for or against consolidation using the added cost and added benefit of bringing each additional system into the authority.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 1 requires teams to carry units from a monthly bill to an annual bill to a percentage of median household income, and to state violations as a rate per hundred connections.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community water system, consolidation, regional authority, bill burden, economies of scale</w:t>
      </w:r>
    </w:p>
    <w:p>
      <w:pPr>
        <w:pStyle w:val="Heading2"/>
        <w:keepNext/>
        <w:keepLines/>
      </w:pPr>
      <w:r>
        <w:rPr>
          <w:sz w:val="28"/>
          <w:szCs w:val="28"/>
        </w:rPr>
        <w:t xml:space="preserve">Teacher overview</w:t>
      </w:r>
    </w:p>
    <w:p>
      <w:pPr>
        <w:spacing w:after="100" w:line="264"/>
      </w:pPr>
      <w:r>
        <w:rPr>
          <w:sz w:val="22"/>
          <w:szCs w:val="22"/>
        </w:rPr>
        <w:t xml:space="preserve">Most American drinking water systems are small, and the smallest ones carry the same testing and treatment obligations as a large city while having only a few hundred customers to pay for them. This project asks teams to study six fictional water systems in Coppleston County, map where the highest bill burdens fall, and recommend whether the county should combine some of them into one regional authority. The final deliverable is a written recommendation with a map and a data table, presented to a fictional county board. Teams that compare monthly bills alone will miss which households carry the heaviest cost, so the brief requires them to compare bills against household income, which changes the ranking in this scenario.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first calculated column for the fictional Coppleston County table already filled in, so Session 1 begins with the percentage step rather than the annual bill step. Provide the base map with the six service areas already outlined and labeled, and supply a worked example of a cost calculation using a distance not on the list.</w:t>
      </w:r>
    </w:p>
    <w:p>
      <w:pPr>
        <w:pStyle w:val="Heading3"/>
        <w:keepNext/>
        <w:keepLines/>
      </w:pPr>
      <w:r>
        <w:rPr>
          <w:sz w:val="24"/>
          <w:szCs w:val="24"/>
        </w:rPr>
        <w:t xml:space="preserve">Extension</w:t>
      </w:r>
    </w:p>
    <w:p>
      <w:pPr>
        <w:spacing w:after="100" w:line="264"/>
      </w:pPr>
      <w:r>
        <w:rPr>
          <w:sz w:val="22"/>
          <w:szCs w:val="22"/>
        </w:rPr>
        <w:t xml:space="preserve">Ask teams to find the connection cost per household for each fictional system they include, then rank the systems by that figure and explain how the ranking differs from the ranking by bill burden. Teams should state which ranking they would give more weight and why.</w:t>
      </w:r>
    </w:p>
    <w:p>
      <w:pPr>
        <w:pStyle w:val="Heading3"/>
        <w:keepNext/>
        <w:keepLines/>
      </w:pPr>
      <w:r>
        <w:rPr>
          <w:sz w:val="24"/>
          <w:szCs w:val="24"/>
        </w:rPr>
        <w:t xml:space="preserve">ELL supports</w:t>
      </w:r>
    </w:p>
    <w:p>
      <w:pPr>
        <w:spacing w:after="100" w:line="264"/>
      </w:pPr>
      <w:r>
        <w:rPr>
          <w:sz w:val="22"/>
          <w:szCs w:val="22"/>
        </w:rPr>
        <w:t xml:space="preserve">Pre-teach "connection," "consolidation," "burden," and "violation" using the labeled Coppleston County base map and a simple two-bar graphic comparing a monthly bill with a monthly income. Provide a recommendation template with headings and sentence frames: "We recommend that Coppleston County ___ because ___," and "Our plan does not solve ___."</w:t>
      </w:r>
    </w:p>
    <w:p>
      <w:pPr>
        <w:pStyle w:val="Heading2"/>
        <w:keepNext/>
        <w:keepLines/>
      </w:pPr>
      <w:r>
        <w:rPr>
          <w:sz w:val="28"/>
          <w:szCs w:val="28"/>
        </w:rPr>
        <w:t xml:space="preserve">Extensions</w:t>
      </w:r>
    </w:p>
    <w:p>
      <w:pPr>
        <w:spacing w:after="100" w:line="264"/>
      </w:pPr>
      <w:r>
        <w:rPr>
          <w:sz w:val="22"/>
          <w:szCs w:val="22"/>
        </w:rPr>
        <w:t xml:space="preserve">Teams look up how many community water systems their own state regulates and how many serve fewer than 500 people, using only the state drinking water program's published inventory, then write a paragraph comparing that distribution to the fictional Coppleston County. A second option is a follow-up session in which two teams that reached different recommendations debate before the class board, with each team limited to the figures in its own data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Coppleston County's Small Water Systems: A Consolidation Study</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Should Coppleston County join some of its small water systems into one regional authority?</w:t>
      </w:r>
    </w:p>
    <w:p>
      <w:pPr>
        <w:spacing w:after="120" w:line="276"/>
      </w:pPr>
      <w:r>
        <w:rPr>
          <w:b/>
          <w:bCs/>
          <w:sz w:val="22"/>
          <w:szCs w:val="22"/>
        </w:rPr>
        <w:t xml:space="preserve">Scenario:</w:t>
      </w:r>
      <w:r>
        <w:rPr>
          <w:sz w:val="22"/>
          <w:szCs w:val="22"/>
        </w:rPr>
        <w:t xml:space="preserve"> Coppleston County is fictional. Every figure below was invented for this project. The county board has asked student teams to study its six water systems. Each team must hand the board a map, a data table, and a plan. The board will not vote without all three.</w:t>
      </w:r>
    </w:p>
    <w:p>
      <w:pPr>
        <w:keepNext/>
        <w:keepLines/>
        <w:spacing w:after="120" w:line="276"/>
      </w:pPr>
      <w:r>
        <w:rPr>
          <w:b/>
          <w:bCs/>
          <w:sz w:val="22"/>
          <w:szCs w:val="22"/>
        </w:rPr>
        <w:t xml:space="preserve">The six systems: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65"/>
        <w:gridCol w:w="1493"/>
        <w:gridCol w:w="1472"/>
        <w:gridCol w:w="1428"/>
        <w:gridCol w:w="1717"/>
        <w:gridCol w:w="1605"/>
      </w:tblGrid>
      <w:tr>
        <w:trPr>
          <w:cantSplit/>
          <w:tblHeader/>
        </w:trPr>
        <w:tc>
          <w:tcPr>
            <w:tcW w:type="dxa" w:w="23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System</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Connections</w:t>
            </w:r>
          </w:p>
        </w:tc>
        <w:tc>
          <w:tcPr>
            <w:tcW w:type="dxa" w:w="14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Median household income</w:t>
            </w:r>
          </w:p>
        </w:tc>
        <w:tc>
          <w:tcPr>
            <w:tcW w:type="dxa" w:w="14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monthly water bill</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Miles of main</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Health-based violations in five years</w:t>
            </w:r>
          </w:p>
        </w:tc>
      </w:tr>
      <w:tr>
        <w:trPr>
          <w:cantSplit/>
        </w:trPr>
        <w:tc>
          <w:tcPr>
            <w:tcW w:type="dxa" w:w="2365"/>
            <w:tcMar>
              <w:top w:type="dxa" w:w="70"/>
              <w:left w:type="dxa" w:w="100"/>
              <w:bottom w:type="dxa" w:w="70"/>
              <w:right w:type="dxa" w:w="100"/>
            </w:tcMar>
            <w:vAlign w:val="top"/>
          </w:tcPr>
          <w:p>
            <w:pPr>
              <w:keepNext/>
              <w:spacing w:after="0" w:line="252"/>
              <w:jc w:val="left"/>
            </w:pPr>
            <w:r>
              <w:rPr>
                <w:sz w:val="20"/>
                <w:szCs w:val="20"/>
              </w:rPr>
              <w:t xml:space="preserve">Coppleston City</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9,400</w:t>
            </w:r>
          </w:p>
        </w:tc>
        <w:tc>
          <w:tcPr>
            <w:tcW w:type="dxa" w:w="1472"/>
            <w:tcMar>
              <w:top w:type="dxa" w:w="70"/>
              <w:left w:type="dxa" w:w="100"/>
              <w:bottom w:type="dxa" w:w="70"/>
              <w:right w:type="dxa" w:w="100"/>
            </w:tcMar>
            <w:vAlign w:val="top"/>
          </w:tcPr>
          <w:p>
            <w:pPr>
              <w:keepNext/>
              <w:spacing w:after="0" w:line="252"/>
              <w:jc w:val="left"/>
            </w:pPr>
            <w:r>
              <w:rPr>
                <w:sz w:val="20"/>
                <w:szCs w:val="20"/>
              </w:rPr>
              <w:t xml:space="preserve">$61,200</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$46</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148</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2365"/>
            <w:tcMar>
              <w:top w:type="dxa" w:w="70"/>
              <w:left w:type="dxa" w:w="100"/>
              <w:bottom w:type="dxa" w:w="70"/>
              <w:right w:type="dxa" w:w="100"/>
            </w:tcMar>
            <w:vAlign w:val="top"/>
          </w:tcPr>
          <w:p>
            <w:pPr>
              <w:keepNext/>
              <w:spacing w:after="0" w:line="252"/>
              <w:jc w:val="left"/>
            </w:pPr>
            <w:r>
              <w:rPr>
                <w:sz w:val="20"/>
                <w:szCs w:val="20"/>
              </w:rPr>
              <w:t xml:space="preserve">Hollowmead Village</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610</w:t>
            </w:r>
          </w:p>
        </w:tc>
        <w:tc>
          <w:tcPr>
            <w:tcW w:type="dxa" w:w="1472"/>
            <w:tcMar>
              <w:top w:type="dxa" w:w="70"/>
              <w:left w:type="dxa" w:w="100"/>
              <w:bottom w:type="dxa" w:w="70"/>
              <w:right w:type="dxa" w:w="100"/>
            </w:tcMar>
            <w:vAlign w:val="top"/>
          </w:tcPr>
          <w:p>
            <w:pPr>
              <w:keepNext/>
              <w:spacing w:after="0" w:line="252"/>
              <w:jc w:val="left"/>
            </w:pPr>
            <w:r>
              <w:rPr>
                <w:sz w:val="20"/>
                <w:szCs w:val="20"/>
              </w:rPr>
              <w:t xml:space="preserve">$43,500</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$79</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2365"/>
            <w:tcMar>
              <w:top w:type="dxa" w:w="70"/>
              <w:left w:type="dxa" w:w="100"/>
              <w:bottom w:type="dxa" w:w="70"/>
              <w:right w:type="dxa" w:w="100"/>
            </w:tcMar>
            <w:vAlign w:val="top"/>
          </w:tcPr>
          <w:p>
            <w:pPr>
              <w:keepNext/>
              <w:spacing w:after="0" w:line="252"/>
              <w:jc w:val="left"/>
            </w:pPr>
            <w:r>
              <w:rPr>
                <w:sz w:val="20"/>
                <w:szCs w:val="20"/>
              </w:rPr>
              <w:t xml:space="preserve">Pyewick Water Association</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240</w:t>
            </w:r>
          </w:p>
        </w:tc>
        <w:tc>
          <w:tcPr>
            <w:tcW w:type="dxa" w:w="1472"/>
            <w:tcMar>
              <w:top w:type="dxa" w:w="70"/>
              <w:left w:type="dxa" w:w="100"/>
              <w:bottom w:type="dxa" w:w="70"/>
              <w:right w:type="dxa" w:w="100"/>
            </w:tcMar>
            <w:vAlign w:val="top"/>
          </w:tcPr>
          <w:p>
            <w:pPr>
              <w:keepNext/>
              <w:spacing w:after="0" w:line="252"/>
              <w:jc w:val="left"/>
            </w:pPr>
            <w:r>
              <w:rPr>
                <w:sz w:val="20"/>
                <w:szCs w:val="20"/>
              </w:rPr>
              <w:t xml:space="preserve">$38,900</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$94</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9</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2365"/>
            <w:tcMar>
              <w:top w:type="dxa" w:w="70"/>
              <w:left w:type="dxa" w:w="100"/>
              <w:bottom w:type="dxa" w:w="70"/>
              <w:right w:type="dxa" w:w="100"/>
            </w:tcMar>
            <w:vAlign w:val="top"/>
          </w:tcPr>
          <w:p>
            <w:pPr>
              <w:keepNext/>
              <w:spacing w:after="0" w:line="252"/>
              <w:jc w:val="left"/>
            </w:pPr>
            <w:r>
              <w:rPr>
                <w:sz w:val="20"/>
                <w:szCs w:val="20"/>
              </w:rPr>
              <w:t xml:space="preserve">Brackenhoe Estates</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180</w:t>
            </w:r>
          </w:p>
        </w:tc>
        <w:tc>
          <w:tcPr>
            <w:tcW w:type="dxa" w:w="1472"/>
            <w:tcMar>
              <w:top w:type="dxa" w:w="70"/>
              <w:left w:type="dxa" w:w="100"/>
              <w:bottom w:type="dxa" w:w="70"/>
              <w:right w:type="dxa" w:w="100"/>
            </w:tcMar>
            <w:vAlign w:val="top"/>
          </w:tcPr>
          <w:p>
            <w:pPr>
              <w:keepNext/>
              <w:spacing w:after="0" w:line="252"/>
              <w:jc w:val="left"/>
            </w:pPr>
            <w:r>
              <w:rPr>
                <w:sz w:val="20"/>
                <w:szCs w:val="20"/>
              </w:rPr>
              <w:t xml:space="preserve">$71,400</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$68</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2365"/>
            <w:tcMar>
              <w:top w:type="dxa" w:w="70"/>
              <w:left w:type="dxa" w:w="100"/>
              <w:bottom w:type="dxa" w:w="70"/>
              <w:right w:type="dxa" w:w="100"/>
            </w:tcMar>
            <w:vAlign w:val="top"/>
          </w:tcPr>
          <w:p>
            <w:pPr>
              <w:keepNext/>
              <w:spacing w:after="0" w:line="252"/>
              <w:jc w:val="left"/>
            </w:pPr>
            <w:r>
              <w:rPr>
                <w:sz w:val="20"/>
                <w:szCs w:val="20"/>
              </w:rPr>
              <w:t xml:space="preserve">Marlgate Mobile Home Park</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120</w:t>
            </w:r>
          </w:p>
        </w:tc>
        <w:tc>
          <w:tcPr>
            <w:tcW w:type="dxa" w:w="1472"/>
            <w:tcMar>
              <w:top w:type="dxa" w:w="70"/>
              <w:left w:type="dxa" w:w="100"/>
              <w:bottom w:type="dxa" w:w="70"/>
              <w:right w:type="dxa" w:w="100"/>
            </w:tcMar>
            <w:vAlign w:val="top"/>
          </w:tcPr>
          <w:p>
            <w:pPr>
              <w:keepNext/>
              <w:spacing w:after="0" w:line="252"/>
              <w:jc w:val="left"/>
            </w:pPr>
            <w:r>
              <w:rPr>
                <w:sz w:val="20"/>
                <w:szCs w:val="20"/>
              </w:rPr>
              <w:t xml:space="preserve">$31,700</w:t>
            </w:r>
          </w:p>
        </w:tc>
        <w:tc>
          <w:tcPr>
            <w:tcW w:type="dxa" w:w="1428"/>
            <w:tcMar>
              <w:top w:type="dxa" w:w="70"/>
              <w:left w:type="dxa" w:w="100"/>
              <w:bottom w:type="dxa" w:w="70"/>
              <w:right w:type="dxa" w:w="100"/>
            </w:tcMar>
            <w:vAlign w:val="top"/>
          </w:tcPr>
          <w:p>
            <w:pPr>
              <w:keepNext/>
              <w:spacing w:after="0" w:line="252"/>
              <w:jc w:val="left"/>
            </w:pPr>
            <w:r>
              <w:rPr>
                <w:sz w:val="20"/>
                <w:szCs w:val="20"/>
              </w:rPr>
              <w:t xml:space="preserve">$88</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2365"/>
            <w:tcMar>
              <w:top w:type="dxa" w:w="70"/>
              <w:left w:type="dxa" w:w="100"/>
              <w:bottom w:type="dxa" w:w="70"/>
              <w:right w:type="dxa" w:w="100"/>
            </w:tcMar>
            <w:vAlign w:val="top"/>
          </w:tcPr>
          <w:p>
            <w:pPr>
              <w:spacing w:after="0" w:line="252"/>
              <w:jc w:val="left"/>
            </w:pPr>
            <w:r>
              <w:rPr>
                <w:sz w:val="20"/>
                <w:szCs w:val="20"/>
              </w:rPr>
              <w:t xml:space="preserve">Thurlow Ridge</w:t>
            </w:r>
          </w:p>
        </w:tc>
        <w:tc>
          <w:tcPr>
            <w:tcW w:type="dxa" w:w="1493"/>
            <w:tcMar>
              <w:top w:type="dxa" w:w="70"/>
              <w:left w:type="dxa" w:w="100"/>
              <w:bottom w:type="dxa" w:w="70"/>
              <w:right w:type="dxa" w:w="100"/>
            </w:tcMar>
            <w:vAlign w:val="top"/>
          </w:tcPr>
          <w:p>
            <w:pPr>
              <w:spacing w:after="0" w:line="252"/>
              <w:jc w:val="left"/>
            </w:pPr>
            <w:r>
              <w:rPr>
                <w:sz w:val="20"/>
                <w:szCs w:val="20"/>
              </w:rPr>
              <w:t xml:space="preserve">430</w:t>
            </w:r>
          </w:p>
        </w:tc>
        <w:tc>
          <w:tcPr>
            <w:tcW w:type="dxa" w:w="1472"/>
            <w:tcMar>
              <w:top w:type="dxa" w:w="70"/>
              <w:left w:type="dxa" w:w="100"/>
              <w:bottom w:type="dxa" w:w="70"/>
              <w:right w:type="dxa" w:w="100"/>
            </w:tcMar>
            <w:vAlign w:val="top"/>
          </w:tcPr>
          <w:p>
            <w:pPr>
              <w:spacing w:after="0" w:line="252"/>
              <w:jc w:val="left"/>
            </w:pPr>
            <w:r>
              <w:rPr>
                <w:sz w:val="20"/>
                <w:szCs w:val="20"/>
              </w:rPr>
              <w:t xml:space="preserve">$52,800</w:t>
            </w:r>
          </w:p>
        </w:tc>
        <w:tc>
          <w:tcPr>
            <w:tcW w:type="dxa" w:w="1428"/>
            <w:tcMar>
              <w:top w:type="dxa" w:w="70"/>
              <w:left w:type="dxa" w:w="100"/>
              <w:bottom w:type="dxa" w:w="70"/>
              <w:right w:type="dxa" w:w="100"/>
            </w:tcMar>
            <w:vAlign w:val="top"/>
          </w:tcPr>
          <w:p>
            <w:pPr>
              <w:spacing w:after="0" w:line="252"/>
              <w:jc w:val="left"/>
            </w:pPr>
            <w:r>
              <w:rPr>
                <w:sz w:val="20"/>
                <w:szCs w:val="20"/>
              </w:rPr>
              <w:t xml:space="preserve">$61</w:t>
            </w:r>
          </w:p>
        </w:tc>
        <w:tc>
          <w:tcPr>
            <w:tcW w:type="dxa" w:w="1717"/>
            <w:tcMar>
              <w:top w:type="dxa" w:w="70"/>
              <w:left w:type="dxa" w:w="100"/>
              <w:bottom w:type="dxa" w:w="70"/>
              <w:right w:type="dxa" w:w="100"/>
            </w:tcMar>
            <w:vAlign w:val="top"/>
          </w:tcPr>
          <w:p>
            <w:pPr>
              <w:spacing w:after="0" w:line="252"/>
              <w:jc w:val="left"/>
            </w:pPr>
            <w:r>
              <w:rPr>
                <w:sz w:val="20"/>
                <w:szCs w:val="20"/>
              </w:rPr>
              <w:t xml:space="preserve">11</w:t>
            </w:r>
          </w:p>
        </w:tc>
        <w:tc>
          <w:tcPr>
            <w:tcW w:type="dxa" w:w="1605"/>
            <w:tcMar>
              <w:top w:type="dxa" w:w="70"/>
              <w:left w:type="dxa" w:w="100"/>
              <w:bottom w:type="dxa" w:w="70"/>
              <w:right w:type="dxa" w:w="100"/>
            </w:tcMar>
            <w:vAlign w:val="top"/>
          </w:tcPr>
          <w:p>
            <w:pPr>
              <w:spacing w:after="0" w:line="252"/>
              <w:jc w:val="left"/>
            </w:pPr>
            <w:r>
              <w:rPr>
                <w:sz w:val="20"/>
                <w:szCs w:val="20"/>
              </w:rPr>
              <w:t xml:space="preserve">2</w:t>
            </w:r>
          </w:p>
        </w:tc>
      </w:tr>
    </w:tbl>
    <w:p>
      <w:pPr>
        <w:spacing w:after="160" w:before="0"/>
      </w:pP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The county board has set aside $4,000,000 in one-time funds to connect systems to Coppleston City's mains. Connecting one small system costs $220,000 per mile of new pipe, and the board's engineer has estimated the pipe distance from each small system to the city system as follows: Hollowmead Village 3 miles, Pyewick Water Association 7 miles, Brackenhoe Estates 2 miles, Marlgate Mobile Home Park 1 mile, Thurlow Ridge 9 miles.</w:t>
      </w:r>
    </w:p>
    <w:p>
      <w:pPr>
        <w:pStyle w:val="ListParagraph"/>
        <w:keepLines/>
        <w:numPr>
          <w:ilvl w:val="0"/>
          <w:numId w:val="3"/>
        </w:numPr>
        <w:spacing w:after="60" w:line="276"/>
        <w:ind w:left="720" w:hanging="360"/>
      </w:pPr>
      <w:r>
        <w:rPr>
          <w:sz w:val="22"/>
          <w:szCs w:val="22"/>
        </w:rPr>
        <w:t xml:space="preserve">Any system brought into the authority would pay the Coppleston City rate, an average of $46 per month.</w:t>
      </w:r>
    </w:p>
    <w:p>
      <w:pPr>
        <w:pStyle w:val="ListParagraph"/>
        <w:keepLines/>
        <w:numPr>
          <w:ilvl w:val="0"/>
          <w:numId w:val="3"/>
        </w:numPr>
        <w:spacing w:after="60" w:line="276"/>
        <w:ind w:left="720" w:hanging="360"/>
      </w:pPr>
      <w:r>
        <w:rPr>
          <w:sz w:val="22"/>
          <w:szCs w:val="22"/>
        </w:rPr>
        <w:t xml:space="preserve">The recommendation must keep the total connection cost at or below the $4,000,000 the board has set aside.</w:t>
      </w:r>
    </w:p>
    <w:p>
      <w:pPr>
        <w:pStyle w:val="ListParagraph"/>
        <w:keepLines/>
        <w:numPr>
          <w:ilvl w:val="0"/>
          <w:numId w:val="3"/>
        </w:numPr>
        <w:spacing w:after="60" w:line="276"/>
        <w:ind w:left="720" w:hanging="360"/>
      </w:pPr>
      <w:r>
        <w:rPr>
          <w:sz w:val="22"/>
          <w:szCs w:val="22"/>
        </w:rPr>
        <w:t xml:space="preserve">Teams must use the widely used rule of thumb that combined water and sewer costs above roughly 4.5 percent of household income count as a high burden, and must say plainly that the bills in this table are water only. The 4.5 percent figure comes from adding two EPA benchmarks, 2.5 percent for drinking water and 2 percent for wastewater; EPA itself has no single official cutoff.</w:t>
      </w:r>
    </w:p>
    <w:p>
      <w:pPr>
        <w:spacing w:after="40" w:before="0" w:line="120" w:lineRule="exact"/>
      </w:pPr>
    </w:p>
    <w:p>
      <w:pPr>
        <w:spacing w:after="120" w:line="276"/>
      </w:pPr>
      <w:r>
        <w:rPr>
          <w:b/>
          <w:bCs/>
          <w:sz w:val="22"/>
          <w:szCs w:val="22"/>
        </w:rPr>
        <w:t xml:space="preserve">County base map:</w:t>
      </w:r>
      <w:r>
        <w:rPr>
          <w:sz w:val="22"/>
          <w:szCs w:val="22"/>
        </w:rPr>
        <w:t xml:space="preserve"> Before Session 2, the teacher sketches or prints a simple county outline from this description. Coppleston City sits at the center of the county, on a river that runs north to south. Marlgate Mobile Home Park lies about 1 mile south of the city, Brackenhoe Estates about 2 miles east, and Hollowmead Village about 3 miles north along the river. Pyewick Water Association lies about 7 miles west in farm country, and Thurlow Ridge about 9 miles northeast in the hills. These distances match the engineer's pipe distances above.</w:t>
      </w:r>
    </w:p>
    <w:p>
      <w:pPr>
        <w:spacing w:after="120" w:line="276"/>
      </w:pPr>
      <w:r>
        <w:rPr>
          <w:b/>
          <w:bCs/>
          <w:sz w:val="22"/>
          <w:szCs w:val="22"/>
        </w:rPr>
        <w:t xml:space="preserve">Final deliverable:</w:t>
      </w:r>
      <w:r>
        <w:rPr>
          <w:sz w:val="22"/>
          <w:szCs w:val="22"/>
        </w:rPr>
        <w:t xml:space="preserve"> A four-page recommendation to the fictional Coppleston County board containing a county map shaded by bill burden, a data table with every value the team calculated, a written recommendation naming which systems to consolidate, and a one-paragraph statement of what the team's plan does not solve.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build the data table.</w:t>
      </w:r>
      <w:r>
        <w:rPr>
          <w:sz w:val="22"/>
          <w:szCs w:val="22"/>
        </w:rPr>
        <w:t xml:space="preserve"> Each team calculates, for all six fictional systems, the annual water bill and that bill as a percentage of median household income, rounded to the nearest tenth of a percent. Teams also compute violations per hundred connections for each system. Output: a completed six-row data table with three new calculated columns.</w:t>
      </w:r>
    </w:p>
    <w:p>
      <w:pPr>
        <w:pStyle w:val="ListParagraph"/>
        <w:keepLines/>
        <w:numPr>
          <w:ilvl w:val="0"/>
          <w:numId w:val="4"/>
        </w:numPr>
        <w:spacing w:after="60" w:line="276"/>
        <w:ind w:left="720" w:hanging="360"/>
      </w:pPr>
      <w:r>
        <w:rPr>
          <w:b/>
          <w:bCs/>
          <w:sz w:val="22"/>
          <w:szCs w:val="22"/>
        </w:rPr>
        <w:t xml:space="preserve">Session 2, map the pattern.</w:t>
      </w:r>
      <w:r>
        <w:rPr>
          <w:sz w:val="22"/>
          <w:szCs w:val="22"/>
        </w:rPr>
        <w:t xml:space="preserve"> Teams place the six service areas on the county base map and shade each one by its bill burden percentage using four bands they define themselves. Output: a labeled county map with a legend, a scale, and a one-sentence caption naming the pattern the map shows.</w:t>
      </w:r>
    </w:p>
    <w:p>
      <w:pPr>
        <w:pStyle w:val="ListParagraph"/>
        <w:keepLines/>
        <w:numPr>
          <w:ilvl w:val="0"/>
          <w:numId w:val="4"/>
        </w:numPr>
        <w:spacing w:after="60" w:line="276"/>
        <w:ind w:left="720" w:hanging="360"/>
      </w:pPr>
      <w:r>
        <w:rPr>
          <w:b/>
          <w:bCs/>
          <w:sz w:val="22"/>
          <w:szCs w:val="22"/>
        </w:rPr>
        <w:t xml:space="preserve">Session 3, compare the systems.</w:t>
      </w:r>
      <w:r>
        <w:rPr>
          <w:sz w:val="22"/>
          <w:szCs w:val="22"/>
        </w:rPr>
        <w:t xml:space="preserve"> Teams find the median and the range of the monthly bills for the five small systems, then compare both figures to Coppleston City's single value. Output: a half-page written comparison stating the median, the range, and one sentence explaining why the city's bill sits where it does.</w:t>
      </w:r>
    </w:p>
    <w:p>
      <w:pPr>
        <w:pStyle w:val="ListParagraph"/>
        <w:keepLines/>
        <w:numPr>
          <w:ilvl w:val="0"/>
          <w:numId w:val="4"/>
        </w:numPr>
        <w:spacing w:after="60" w:line="276"/>
        <w:ind w:left="720" w:hanging="360"/>
      </w:pPr>
      <w:r>
        <w:rPr>
          <w:b/>
          <w:bCs/>
          <w:sz w:val="22"/>
          <w:szCs w:val="22"/>
        </w:rPr>
        <w:t xml:space="preserve">Session 4, cost the plan.</w:t>
      </w:r>
      <w:r>
        <w:rPr>
          <w:sz w:val="22"/>
          <w:szCs w:val="22"/>
        </w:rPr>
        <w:t xml:space="preserve"> Teams choose which systems to bring into the authority, multiply each chosen system's pipe distance by $220,000 per mile, and confirm the total stays at or below $4,000,000. They then write the added cost and added benefit of each system they included and of one they left out. Output: a costed consolidation plan with a total and a written added-cost and added-benefit note for each system considered.</w:t>
      </w:r>
    </w:p>
    <w:p>
      <w:pPr>
        <w:pStyle w:val="ListParagraph"/>
        <w:keepLines/>
        <w:numPr>
          <w:ilvl w:val="0"/>
          <w:numId w:val="4"/>
        </w:numPr>
        <w:spacing w:after="60" w:line="276"/>
        <w:ind w:left="720" w:hanging="360"/>
      </w:pPr>
      <w:r>
        <w:rPr>
          <w:b/>
          <w:bCs/>
          <w:sz w:val="22"/>
          <w:szCs w:val="22"/>
        </w:rPr>
        <w:t xml:space="preserve">Session 5, write and present.</w:t>
      </w:r>
      <w:r>
        <w:rPr>
          <w:sz w:val="22"/>
          <w:szCs w:val="22"/>
        </w:rPr>
        <w:t xml:space="preserve"> Teams assemble the four-page recommendation and present it in six minutes to the class acting as the fictional county board, which asks two questions of each team. Output: the finished recommendation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Coppleston County's Small Water Systems: A Consolidation Study</w:t>
      </w:r>
    </w:p>
    <w:p>
      <w:pPr>
        <w:keepNext/>
        <w:spacing w:after="160"/>
      </w:pPr>
      <w:r>
        <w:rPr>
          <w:color w:val="5B6B70"/>
          <w:sz w:val="20"/>
          <w:szCs w:val="20"/>
        </w:rPr>
        <w:t xml:space="preserve">Project · Grade 9 · Social Studies &amp; Civics</w:t>
      </w:r>
    </w:p>
    <w:p>
      <w:pPr>
        <w:keepNext/>
        <w:keepLines/>
        <w:spacing w:after="100" w:line="264"/>
      </w:pPr>
      <w:r>
        <w:rPr>
          <w:sz w:val="22"/>
          <w:szCs w:val="22"/>
        </w:rPr>
        <w:t xml:space="preserve">Scores apply to the recommendation each team delivers to the fictional Coppleston County board.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310"/>
        <w:gridCol w:w="3051"/>
        <w:gridCol w:w="3301"/>
        <w:gridCol w:w="3302"/>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Data accuracy</w:t>
            </w:r>
          </w:p>
        </w:tc>
        <w:tc>
          <w:tcPr>
            <w:tcW w:type="dxa" w:w="2310"/>
            <w:tcMar>
              <w:top w:type="dxa" w:w="70"/>
              <w:left w:type="dxa" w:w="100"/>
              <w:bottom w:type="dxa" w:w="70"/>
              <w:right w:type="dxa" w:w="100"/>
            </w:tcMar>
            <w:vAlign w:val="top"/>
          </w:tcPr>
          <w:p>
            <w:pPr>
              <w:keepNext/>
              <w:spacing w:after="0" w:line="252"/>
              <w:jc w:val="left"/>
            </w:pPr>
            <w:r>
              <w:rPr>
                <w:sz w:val="20"/>
                <w:szCs w:val="20"/>
              </w:rPr>
              <w:t xml:space="preserve">Several bill-burden percentages are wrong or missing</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Most percentages are correct but the violations-per-connection column is incomplete</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All six systems have correct annual bills, burden percentages, and violation rates</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All values are correct and the team states the rounding rule it used and applies it consistently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Map and spatial pattern</w:t>
            </w:r>
          </w:p>
        </w:tc>
        <w:tc>
          <w:tcPr>
            <w:tcW w:type="dxa" w:w="2310"/>
            <w:tcMar>
              <w:top w:type="dxa" w:w="70"/>
              <w:left w:type="dxa" w:w="100"/>
              <w:bottom w:type="dxa" w:w="70"/>
              <w:right w:type="dxa" w:w="100"/>
            </w:tcMar>
            <w:vAlign w:val="top"/>
          </w:tcPr>
          <w:p>
            <w:pPr>
              <w:keepNext/>
              <w:spacing w:after="0" w:line="252"/>
              <w:jc w:val="left"/>
            </w:pPr>
            <w:r>
              <w:rPr>
                <w:sz w:val="20"/>
                <w:szCs w:val="20"/>
              </w:rPr>
              <w:t xml:space="preserve">Map lacks a legend or the shading does not follow the data</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Map is shaded correctly but has no scale or caption</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Map has four defined bands, a legend, a scale, and a caption naming the pattern</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Map meets all requirements and the caption explains why the pattern falls where it does in the county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Cost constraint</w:t>
            </w:r>
          </w:p>
        </w:tc>
        <w:tc>
          <w:tcPr>
            <w:tcW w:type="dxa" w:w="2310"/>
            <w:tcMar>
              <w:top w:type="dxa" w:w="70"/>
              <w:left w:type="dxa" w:w="100"/>
              <w:bottom w:type="dxa" w:w="70"/>
              <w:right w:type="dxa" w:w="100"/>
            </w:tcMar>
            <w:vAlign w:val="top"/>
          </w:tcPr>
          <w:p>
            <w:pPr>
              <w:keepNext/>
              <w:spacing w:after="0" w:line="252"/>
              <w:jc w:val="left"/>
            </w:pPr>
            <w:r>
              <w:rPr>
                <w:sz w:val="20"/>
                <w:szCs w:val="20"/>
              </w:rPr>
              <w:t xml:space="preserve">Plan exceeds the $4,000,000 limit or shows no total</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Total is within the limit but the per-system arithmetic is not shown</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Total is at or below $4,000,000 with per-system costs shown at $220,000 per mile</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Total is within the limit and the team shows a second option it rejected and explains why</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Added cost and added benefit</w:t>
            </w:r>
          </w:p>
        </w:tc>
        <w:tc>
          <w:tcPr>
            <w:tcW w:type="dxa" w:w="2310"/>
            <w:tcMar>
              <w:top w:type="dxa" w:w="70"/>
              <w:left w:type="dxa" w:w="100"/>
              <w:bottom w:type="dxa" w:w="70"/>
              <w:right w:type="dxa" w:w="100"/>
            </w:tcMar>
            <w:vAlign w:val="top"/>
          </w:tcPr>
          <w:p>
            <w:pPr>
              <w:keepNext/>
              <w:spacing w:after="0" w:line="252"/>
              <w:jc w:val="left"/>
            </w:pPr>
            <w:r>
              <w:rPr>
                <w:sz w:val="20"/>
                <w:szCs w:val="20"/>
              </w:rPr>
              <w:t xml:space="preserve">Argument names no costs or no benefits</w:t>
            </w:r>
          </w:p>
        </w:tc>
        <w:tc>
          <w:tcPr>
            <w:tcW w:type="dxa" w:w="3051"/>
            <w:tcMar>
              <w:top w:type="dxa" w:w="70"/>
              <w:left w:type="dxa" w:w="100"/>
              <w:bottom w:type="dxa" w:w="70"/>
              <w:right w:type="dxa" w:w="100"/>
            </w:tcMar>
            <w:vAlign w:val="top"/>
          </w:tcPr>
          <w:p>
            <w:pPr>
              <w:keepNext/>
              <w:spacing w:after="0" w:line="252"/>
              <w:jc w:val="left"/>
            </w:pPr>
            <w:r>
              <w:rPr>
                <w:sz w:val="20"/>
                <w:szCs w:val="20"/>
              </w:rPr>
              <w:t xml:space="preserve">Argument names costs and benefits in general terms only</w:t>
            </w:r>
          </w:p>
        </w:tc>
        <w:tc>
          <w:tcPr>
            <w:tcW w:type="dxa" w:w="3301"/>
            <w:tcMar>
              <w:top w:type="dxa" w:w="70"/>
              <w:left w:type="dxa" w:w="100"/>
              <w:bottom w:type="dxa" w:w="70"/>
              <w:right w:type="dxa" w:w="100"/>
            </w:tcMar>
            <w:vAlign w:val="top"/>
          </w:tcPr>
          <w:p>
            <w:pPr>
              <w:keepNext/>
              <w:spacing w:after="0" w:line="252"/>
              <w:jc w:val="left"/>
            </w:pPr>
            <w:r>
              <w:rPr>
                <w:sz w:val="20"/>
                <w:szCs w:val="20"/>
              </w:rPr>
              <w:t xml:space="preserve">Argument states an added cost and an added benefit for each system included and one excluded</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Argument does the above and identifies the system where added cost first exceeds added benefit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Recommendation and limits</w:t>
            </w:r>
          </w:p>
        </w:tc>
        <w:tc>
          <w:tcPr>
            <w:tcW w:type="dxa" w:w="2310"/>
            <w:tcMar>
              <w:top w:type="dxa" w:w="70"/>
              <w:left w:type="dxa" w:w="100"/>
              <w:bottom w:type="dxa" w:w="70"/>
              <w:right w:type="dxa" w:w="100"/>
            </w:tcMar>
            <w:vAlign w:val="top"/>
          </w:tcPr>
          <w:p>
            <w:pPr>
              <w:spacing w:after="0" w:line="252"/>
              <w:jc w:val="left"/>
            </w:pPr>
            <w:r>
              <w:rPr>
                <w:sz w:val="20"/>
                <w:szCs w:val="20"/>
              </w:rPr>
              <w:t xml:space="preserve">No clear recommendation, or none that follows from the data</w:t>
            </w:r>
          </w:p>
        </w:tc>
        <w:tc>
          <w:tcPr>
            <w:tcW w:type="dxa" w:w="3051"/>
            <w:tcMar>
              <w:top w:type="dxa" w:w="70"/>
              <w:left w:type="dxa" w:w="100"/>
              <w:bottom w:type="dxa" w:w="70"/>
              <w:right w:type="dxa" w:w="100"/>
            </w:tcMar>
            <w:vAlign w:val="top"/>
          </w:tcPr>
          <w:p>
            <w:pPr>
              <w:spacing w:after="0" w:line="252"/>
              <w:jc w:val="left"/>
            </w:pPr>
            <w:r>
              <w:rPr>
                <w:sz w:val="20"/>
                <w:szCs w:val="20"/>
              </w:rPr>
              <w:t xml:space="preserve">Recommendation is stated but not tied to the calculated burdens</w:t>
            </w:r>
          </w:p>
        </w:tc>
        <w:tc>
          <w:tcPr>
            <w:tcW w:type="dxa" w:w="3301"/>
            <w:tcMar>
              <w:top w:type="dxa" w:w="70"/>
              <w:left w:type="dxa" w:w="100"/>
              <w:bottom w:type="dxa" w:w="70"/>
              <w:right w:type="dxa" w:w="100"/>
            </w:tcMar>
            <w:vAlign w:val="top"/>
          </w:tcPr>
          <w:p>
            <w:pPr>
              <w:spacing w:after="0" w:line="252"/>
              <w:jc w:val="left"/>
            </w:pPr>
            <w:r>
              <w:rPr>
                <w:sz w:val="20"/>
                <w:szCs w:val="20"/>
              </w:rPr>
              <w:t xml:space="preserve">Recommendation names specific systems and cites burden and violation data</w:t>
            </w:r>
          </w:p>
        </w:tc>
        <w:tc>
          <w:tcPr>
            <w:tcW w:type="dxa" w:w="3302"/>
            <w:tcMar>
              <w:top w:type="dxa" w:w="70"/>
              <w:left w:type="dxa" w:w="100"/>
              <w:bottom w:type="dxa" w:w="70"/>
              <w:right w:type="dxa" w:w="100"/>
            </w:tcMar>
            <w:vAlign w:val="top"/>
          </w:tcPr>
          <w:p>
            <w:pPr>
              <w:spacing w:after="0" w:line="252"/>
              <w:jc w:val="left"/>
            </w:pPr>
            <w:r>
              <w:rPr>
                <w:sz w:val="20"/>
                <w:szCs w:val="20"/>
              </w:rPr>
              <w:t xml:space="preserve">Recommendation does the above and the closing paragraph names a real problem consolidation leaves unsolved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Coppleston County's Small Water Systems: A Consolidation Study</dc:title>
  <dc:subject>Project · Grade 9 · Social Studies &amp; Civics</dc:subject>
  <dc:creator>Water for Schools</dc:creator>
  <cp:keywords>Project, Grade 9, Social Studies &amp; Civics</cp:keywords>
  <dc:description>A five-session grade 9 project in which teams map six fictional county water systems, compare bill burdens, and recommend whether to form a regional authority.</dc:description>
  <cp:lastModifiedBy>Water for Schools</cp:lastModifiedBy>
  <cp:revision>1</cp:revision>
  <dcterms:created xsi:type="dcterms:W3CDTF">2026-10-19T16:29:29.542Z</dcterms:created>
  <dcterms:modified xsi:type="dcterms:W3CDTF">2026-10-19T16:29:29.542Z</dcterms:modified>
</cp:coreProperties>
</file>

<file path=docProps/custom.xml><?xml version="1.0" encoding="utf-8"?>
<Properties xmlns="http://schemas.openxmlformats.org/officeDocument/2006/custom-properties" xmlns:vt="http://schemas.openxmlformats.org/officeDocument/2006/docPropsVTypes"/>
</file>