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Ryecroft County Fund a Water Operator Academy?</w:t>
      </w:r>
    </w:p>
    <w:p>
      <w:pPr>
        <w:keepNext/>
        <w:spacing w:after="160"/>
      </w:pPr>
      <w:r>
        <w:rPr>
          <w:color w:val="5B6B70"/>
          <w:sz w:val="20"/>
          <w:szCs w:val="20"/>
        </w:rPr>
        <w:t xml:space="preserve">Writing prompt · Grade 9 · Social Studies &amp; Civics</w:t>
      </w:r>
    </w:p>
    <w:p>
      <w:pPr>
        <w:spacing w:after="100" w:line="264"/>
      </w:pPr>
      <w:r>
        <w:rPr>
          <w:i/>
          <w:iCs/>
          <w:color w:val="12333F"/>
          <w:sz w:val="22"/>
          <w:szCs w:val="22"/>
        </w:rPr>
        <w:t xml:space="preserve">A grade 9 argument writing prompt in which students weigh a fictional county's operator training academy against an open scholarship fund, using BLS workforce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defensible claim about a county spending decision.</w:t>
      </w:r>
    </w:p>
    <w:p>
      <w:pPr>
        <w:pStyle w:val="ListParagraph"/>
        <w:keepNext/>
        <w:keepLines/>
        <w:numPr>
          <w:ilvl w:val="0"/>
          <w:numId w:val="2"/>
        </w:numPr>
        <w:spacing w:after="60" w:line="264"/>
        <w:ind w:left="720" w:hanging="360"/>
      </w:pPr>
      <w:r>
        <w:rPr>
          <w:sz w:val="22"/>
          <w:szCs w:val="22"/>
        </w:rPr>
        <w:t xml:space="preserve">Students will support a claim using workforce and wage data provided in the prompt.</w:t>
      </w:r>
    </w:p>
    <w:p>
      <w:pPr>
        <w:pStyle w:val="ListParagraph"/>
        <w:keepLines/>
        <w:numPr>
          <w:ilvl w:val="0"/>
          <w:numId w:val="2"/>
        </w:numPr>
        <w:spacing w:after="60" w:line="264"/>
        <w:ind w:left="720" w:hanging="360"/>
      </w:pPr>
      <w:r>
        <w:rPr>
          <w:sz w:val="22"/>
          <w:szCs w:val="22"/>
        </w:rPr>
        <w:t xml:space="preserve">Students will state and answer a counterclaim rather than ignoring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 argument that states a claim about the Ryecroft proposal, supports it with the provided workforce data, and answers a counterclaim.</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prompt asks students to analyze how a targeted training subsidy and an open scholarship create different incentives with different costs for county residents.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certification, vacancy rate, subsidy, counterclaim, opportunity cost</w:t>
      </w:r>
    </w:p>
    <w:p>
      <w:pPr>
        <w:pStyle w:val="Heading2"/>
        <w:keepNext/>
        <w:keepLines/>
      </w:pPr>
      <w:r>
        <w:rPr>
          <w:sz w:val="28"/>
          <w:szCs w:val="28"/>
        </w:rPr>
        <w:t xml:space="preserve">Teacher overview</w:t>
      </w:r>
    </w:p>
    <w:p>
      <w:pPr>
        <w:spacing w:after="100" w:line="264"/>
      </w:pPr>
      <w:r>
        <w:rPr>
          <w:sz w:val="22"/>
          <w:szCs w:val="22"/>
        </w:rPr>
        <w:t xml:space="preserve">A county with a fixed amount of training money must decide whether to aim it at a single occupation or let students spend it on whatever program they choose. This prompt places that choice in a fictional county whose water plants are short of licensed operators, and asks students to argue for a targeted training academy or for an open scholarship fund of the same size. The workforce and wage figures come from federal agencies and a public policy research organization, so students argue from real numbers about a fictional decision. The task is genuinely two-sided, because the targeted plan solves a specific public problem while the open plan respects a wider range of student goals.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in the fictional Ryecroft County task a partially completed organizer with the claim row filled in for each plan, so they choose a side and build reasons rather than starting from a blank page. Provide the four cited figures on separate cards so students can sort them by which reason they support.</w:t>
      </w:r>
    </w:p>
    <w:p>
      <w:pPr>
        <w:pStyle w:val="Heading3"/>
        <w:keepNext/>
        <w:keepLines/>
      </w:pPr>
      <w:r>
        <w:rPr>
          <w:sz w:val="24"/>
          <w:szCs w:val="24"/>
        </w:rPr>
        <w:t xml:space="preserve">Extension</w:t>
      </w:r>
    </w:p>
    <w:p>
      <w:pPr>
        <w:spacing w:after="100" w:line="264"/>
      </w:pPr>
      <w:r>
        <w:rPr>
          <w:sz w:val="22"/>
          <w:szCs w:val="22"/>
        </w:rPr>
        <w:t xml:space="preserve">Ask students to draft a third plan for the fictional county that splits the $480,000 between the two purposes, then write one paragraph defending the split against a board member who says a divided fund solves neither problem. The paragraph must state how the split would be measured for success.</w:t>
      </w:r>
    </w:p>
    <w:p>
      <w:pPr>
        <w:pStyle w:val="Heading3"/>
        <w:keepNext/>
        <w:keepLines/>
      </w:pPr>
      <w:r>
        <w:rPr>
          <w:sz w:val="24"/>
          <w:szCs w:val="24"/>
        </w:rPr>
        <w:t xml:space="preserve">ELL supports</w:t>
      </w:r>
    </w:p>
    <w:p>
      <w:pPr>
        <w:spacing w:after="100" w:line="264"/>
      </w:pPr>
      <w:r>
        <w:rPr>
          <w:sz w:val="22"/>
          <w:szCs w:val="22"/>
        </w:rPr>
        <w:t xml:space="preserve">Pre-teach "vacancy," "certification," "subsidy," and "counterclaim" using a simple chart of the fictional county's seven plants with vacant positions marked. Provide sentence frames: "The board should fund ___ because ___," "According to ___, ___," and "Some people argue that ___, but ___."</w:t>
      </w:r>
    </w:p>
    <w:p>
      <w:pPr>
        <w:pStyle w:val="Heading2"/>
        <w:keepNext/>
        <w:keepLines/>
      </w:pPr>
      <w:r>
        <w:rPr>
          <w:sz w:val="28"/>
          <w:szCs w:val="28"/>
        </w:rPr>
        <w:t xml:space="preserve">Extensions</w:t>
      </w:r>
    </w:p>
    <w:p>
      <w:pPr>
        <w:spacing w:after="100" w:line="264"/>
      </w:pPr>
      <w:r>
        <w:rPr>
          <w:sz w:val="22"/>
          <w:szCs w:val="22"/>
        </w:rPr>
        <w:t xml:space="preserve">Students find their own state's operator certification requirements, using only the state environmental agency's published certification page, and write a paragraph comparing the real exam classes to the license classes described in the fictional Ryecroft scenario. A second option is a short structured discussion on whether a county should ever aim scholarship money at one occupation, using the essays students have already written as opening statements.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Ryecroft County Fund a Water Operator Academy?</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Ryecroft County is fictional, written for this prompt, and so are its budget figures. The workforce data below is real and is cited to its source.</w:t>
      </w:r>
    </w:p>
    <w:p>
      <w:pPr>
        <w:spacing w:after="120" w:line="276"/>
      </w:pPr>
      <w:r>
        <w:rPr>
          <w:sz w:val="22"/>
          <w:szCs w:val="22"/>
        </w:rPr>
        <w:t xml:space="preserve">Ryecroft County runs five drinking water plants and two wastewater plants. Its utilities director reports that 14 of the county's 61 operator positions are vacant. Three of the five drinking water plants now have only one certified operator on staff, which means a single illness can leave a plant without a licensed person on site. Every vacancy must be filled by someone who holds a state operator license.</w:t>
      </w:r>
    </w:p>
    <w:p>
      <w:pPr>
        <w:spacing w:after="120" w:line="276"/>
      </w:pPr>
      <w:r>
        <w:rPr>
          <w:sz w:val="22"/>
          <w:szCs w:val="22"/>
        </w:rPr>
        <w:t xml:space="preserve">Becoming an operator typically requires a high school diploma, on-the-job training, and a state license earned by exam, according to the Bureau of Labor Statistics and state certification programs. Licenses are issued in classes, usually numbered one through four, that are tied to plant size and experience.</w:t>
      </w:r>
    </w:p>
    <w:p>
      <w:pPr>
        <w:spacing w:after="120" w:line="276"/>
      </w:pPr>
      <w:r>
        <w:rPr>
          <w:sz w:val="22"/>
          <w:szCs w:val="22"/>
        </w:rPr>
        <w:t xml:space="preserve">Nationally, the Bureau of Labor Statistics projects about 10,000 openings each year, on average, for water and wastewater treatment plant and system operators from 2025 to 2035, even though the total number of operator jobs is projected to decline 6 percent. All of those openings come from replacing workers who retire or move to other occupations rather than from new positions. That figure describes operators specifically, not the whole water sector. The EPA estimates that roughly one third of the water sector workforce is eligible to retire in the next 10 years. A 2018 report from the Brookings Institution found that in 2016 only about 10 percent of water workers were 24 or younger, compared with 12.5 percent of all U.S. workers.</w:t>
      </w:r>
    </w:p>
    <w:p>
      <w:pPr>
        <w:spacing w:after="120" w:line="276"/>
      </w:pPr>
      <w:r>
        <w:rPr>
          <w:sz w:val="22"/>
          <w:szCs w:val="22"/>
        </w:rPr>
        <w:t xml:space="preserve">The Bureau of Labor Statistics reports that operators earned a median of $60,020 per year in May 2025. The lowest-paid tenth earned less than $39,110, and the highest-paid tenth earned more than $91,060.</w:t>
      </w:r>
    </w:p>
    <w:p>
      <w:pPr>
        <w:spacing w:after="120" w:line="276"/>
      </w:pPr>
      <w:r>
        <w:rPr>
          <w:b/>
          <w:bCs/>
          <w:sz w:val="22"/>
          <w:szCs w:val="22"/>
        </w:rPr>
        <w:t xml:space="preserve">The decision.</w:t>
      </w:r>
      <w:r>
        <w:rPr>
          <w:sz w:val="22"/>
          <w:szCs w:val="22"/>
        </w:rPr>
        <w:t xml:space="preserve"> The Ryecroft County board has $480,000 available each year for two years. It must choose one of two plans.</w:t>
      </w:r>
    </w:p>
    <w:p>
      <w:pPr>
        <w:spacing w:after="120" w:line="276"/>
      </w:pPr>
      <w:r>
        <w:rPr>
          <w:sz w:val="22"/>
          <w:szCs w:val="22"/>
        </w:rPr>
        <w:t xml:space="preserve">Plan One, the academy. The county pays the community college to run a water operator training program. The program covers exam preparation, plant math, and a paid summer placement at a county plant. It would graduate about 30 students a year, and every graduate would be prepared to sit for the state license exam.</w:t>
      </w:r>
    </w:p>
    <w:p>
      <w:pPr>
        <w:spacing w:after="120" w:line="276"/>
      </w:pPr>
      <w:r>
        <w:rPr>
          <w:sz w:val="22"/>
          <w:szCs w:val="22"/>
        </w:rPr>
        <w:t xml:space="preserve">Plan Two, the open scholarship. The county puts the same money into a scholarship fund that any county graduate may use for any program at the community college, including nursing, welding, business, and transfer courses toward a four-year degree. About 120 students a year would receive a partial scholarship.</w:t>
      </w:r>
    </w:p>
    <w:p>
      <w:pPr>
        <w:spacing w:after="120" w:line="276"/>
      </w:pPr>
      <w:r>
        <w:rPr>
          <w:b/>
          <w:bCs/>
          <w:sz w:val="22"/>
          <w:szCs w:val="22"/>
        </w:rPr>
        <w:t xml:space="preserve">Your task.</w:t>
      </w:r>
      <w:r>
        <w:rPr>
          <w:sz w:val="22"/>
          <w:szCs w:val="22"/>
        </w:rPr>
        <w:t xml:space="preserve"> Write an argument essay of four to six paragraphs addressed to the Ryecroft County board. State clearly which plan the board should fund. Support your claim with at least three specific pieces of evidence from the background above. State the strongest argument on the other side and explain why your claim still holds. End with a recommendation the board could act on.</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begin drafting. Each row matches one criterion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112"/>
        <w:gridCol w:w="4305"/>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w:t>
            </w:r>
          </w:p>
        </w:tc>
        <w:tc>
          <w:tcPr>
            <w:tcW w:type="dxa" w:w="31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43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112"/>
            <w:tcMar>
              <w:top w:type="dxa" w:w="70"/>
              <w:left w:type="dxa" w:w="100"/>
              <w:bottom w:type="dxa" w:w="70"/>
              <w:right w:type="dxa" w:w="100"/>
            </w:tcMar>
            <w:vAlign w:val="top"/>
          </w:tcPr>
          <w:p>
            <w:pPr>
              <w:spacing w:after="0" w:line="252"/>
              <w:jc w:val="left"/>
            </w:pPr>
            <w:r>
              <w:rPr>
                <w:sz w:val="22"/>
                <w:szCs w:val="22"/>
              </w:rPr>
              <w:t xml:space="preserve">One sentence naming the plan you support and the county it applies to.</w:t>
            </w:r>
          </w:p>
        </w:tc>
        <w:tc>
          <w:tcPr>
            <w:tcW w:type="dxa" w:w="4305"/>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112"/>
            <w:tcMar>
              <w:top w:type="dxa" w:w="70"/>
              <w:left w:type="dxa" w:w="100"/>
              <w:bottom w:type="dxa" w:w="70"/>
              <w:right w:type="dxa" w:w="100"/>
            </w:tcMar>
            <w:vAlign w:val="top"/>
          </w:tcPr>
          <w:p>
            <w:pPr>
              <w:spacing w:after="0" w:line="252"/>
              <w:jc w:val="left"/>
            </w:pPr>
            <w:r>
              <w:rPr>
                <w:sz w:val="22"/>
                <w:szCs w:val="22"/>
              </w:rPr>
              <w:t xml:space="preserve">The strongest reason for your claim, in one sentence.</w:t>
            </w:r>
          </w:p>
        </w:tc>
        <w:tc>
          <w:tcPr>
            <w:tcW w:type="dxa" w:w="4305"/>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112"/>
            <w:tcMar>
              <w:top w:type="dxa" w:w="70"/>
              <w:left w:type="dxa" w:w="100"/>
              <w:bottom w:type="dxa" w:w="70"/>
              <w:right w:type="dxa" w:w="100"/>
            </w:tcMar>
            <w:vAlign w:val="top"/>
          </w:tcPr>
          <w:p>
            <w:pPr>
              <w:spacing w:after="0" w:line="252"/>
              <w:jc w:val="left"/>
            </w:pPr>
            <w:r>
              <w:rPr>
                <w:sz w:val="22"/>
                <w:szCs w:val="22"/>
              </w:rPr>
              <w:t xml:space="preserve">The exact figure or fact from the background, with the source named.</w:t>
            </w:r>
          </w:p>
        </w:tc>
        <w:tc>
          <w:tcPr>
            <w:tcW w:type="dxa" w:w="4305"/>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112"/>
            <w:tcMar>
              <w:top w:type="dxa" w:w="70"/>
              <w:left w:type="dxa" w:w="100"/>
              <w:bottom w:type="dxa" w:w="70"/>
              <w:right w:type="dxa" w:w="100"/>
            </w:tcMar>
            <w:vAlign w:val="top"/>
          </w:tcPr>
          <w:p>
            <w:pPr>
              <w:spacing w:after="0" w:line="252"/>
              <w:jc w:val="left"/>
            </w:pPr>
            <w:r>
              <w:rPr>
                <w:sz w:val="22"/>
                <w:szCs w:val="22"/>
              </w:rPr>
              <w:t xml:space="preserve">A second, different reason, in one sentence.</w:t>
            </w:r>
          </w:p>
        </w:tc>
        <w:tc>
          <w:tcPr>
            <w:tcW w:type="dxa" w:w="4305"/>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112"/>
            <w:tcMar>
              <w:top w:type="dxa" w:w="70"/>
              <w:left w:type="dxa" w:w="100"/>
              <w:bottom w:type="dxa" w:w="70"/>
              <w:right w:type="dxa" w:w="100"/>
            </w:tcMar>
            <w:vAlign w:val="top"/>
          </w:tcPr>
          <w:p>
            <w:pPr>
              <w:spacing w:after="0" w:line="252"/>
              <w:jc w:val="left"/>
            </w:pPr>
            <w:r>
              <w:rPr>
                <w:sz w:val="22"/>
                <w:szCs w:val="22"/>
              </w:rPr>
              <w:t xml:space="preserve">The exact figure or fact from the background, with the source named.</w:t>
            </w:r>
          </w:p>
        </w:tc>
        <w:tc>
          <w:tcPr>
            <w:tcW w:type="dxa" w:w="4305"/>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3</w:t>
            </w:r>
          </w:p>
        </w:tc>
        <w:tc>
          <w:tcPr>
            <w:tcW w:type="dxa" w:w="3112"/>
            <w:tcMar>
              <w:top w:type="dxa" w:w="70"/>
              <w:left w:type="dxa" w:w="100"/>
              <w:bottom w:type="dxa" w:w="70"/>
              <w:right w:type="dxa" w:w="100"/>
            </w:tcMar>
            <w:vAlign w:val="top"/>
          </w:tcPr>
          <w:p>
            <w:pPr>
              <w:spacing w:after="0" w:line="252"/>
              <w:jc w:val="left"/>
            </w:pPr>
            <w:r>
              <w:rPr>
                <w:sz w:val="22"/>
                <w:szCs w:val="22"/>
              </w:rPr>
              <w:t xml:space="preserve">A third reason, in one sentence.</w:t>
            </w:r>
          </w:p>
        </w:tc>
        <w:tc>
          <w:tcPr>
            <w:tcW w:type="dxa" w:w="4305"/>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3</w:t>
            </w:r>
          </w:p>
        </w:tc>
        <w:tc>
          <w:tcPr>
            <w:tcW w:type="dxa" w:w="3112"/>
            <w:tcMar>
              <w:top w:type="dxa" w:w="70"/>
              <w:left w:type="dxa" w:w="100"/>
              <w:bottom w:type="dxa" w:w="70"/>
              <w:right w:type="dxa" w:w="100"/>
            </w:tcMar>
            <w:vAlign w:val="top"/>
          </w:tcPr>
          <w:p>
            <w:pPr>
              <w:spacing w:after="0" w:line="252"/>
              <w:jc w:val="left"/>
            </w:pPr>
            <w:r>
              <w:rPr>
                <w:sz w:val="22"/>
                <w:szCs w:val="22"/>
              </w:rPr>
              <w:t xml:space="preserve">The exact figure or fact from the background, with the source named.</w:t>
            </w:r>
          </w:p>
        </w:tc>
        <w:tc>
          <w:tcPr>
            <w:tcW w:type="dxa" w:w="4305"/>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112"/>
            <w:tcMar>
              <w:top w:type="dxa" w:w="70"/>
              <w:left w:type="dxa" w:w="100"/>
              <w:bottom w:type="dxa" w:w="70"/>
              <w:right w:type="dxa" w:w="100"/>
            </w:tcMar>
            <w:vAlign w:val="top"/>
          </w:tcPr>
          <w:p>
            <w:pPr>
              <w:spacing w:after="0" w:line="252"/>
              <w:jc w:val="left"/>
            </w:pPr>
            <w:r>
              <w:rPr>
                <w:sz w:val="22"/>
                <w:szCs w:val="22"/>
              </w:rPr>
              <w:t xml:space="preserve">The strongest argument the other side would make, stated fairly.</w:t>
            </w:r>
          </w:p>
        </w:tc>
        <w:tc>
          <w:tcPr>
            <w:tcW w:type="dxa" w:w="4305"/>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112"/>
            <w:tcMar>
              <w:top w:type="dxa" w:w="70"/>
              <w:left w:type="dxa" w:w="100"/>
              <w:bottom w:type="dxa" w:w="70"/>
              <w:right w:type="dxa" w:w="100"/>
            </w:tcMar>
            <w:vAlign w:val="top"/>
          </w:tcPr>
          <w:p>
            <w:pPr>
              <w:spacing w:after="0" w:line="252"/>
              <w:jc w:val="left"/>
            </w:pPr>
            <w:r>
              <w:rPr>
                <w:sz w:val="22"/>
                <w:szCs w:val="22"/>
              </w:rPr>
              <w:t xml:space="preserve">Why your claim still holds once that argument is considered.</w:t>
            </w:r>
          </w:p>
        </w:tc>
        <w:tc>
          <w:tcPr>
            <w:tcW w:type="dxa" w:w="4305"/>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Recommendation</w:t>
            </w:r>
          </w:p>
        </w:tc>
        <w:tc>
          <w:tcPr>
            <w:tcW w:type="dxa" w:w="3112"/>
            <w:tcMar>
              <w:top w:type="dxa" w:w="70"/>
              <w:left w:type="dxa" w:w="100"/>
              <w:bottom w:type="dxa" w:w="70"/>
              <w:right w:type="dxa" w:w="100"/>
            </w:tcMar>
            <w:vAlign w:val="top"/>
          </w:tcPr>
          <w:p>
            <w:pPr>
              <w:spacing w:after="0" w:line="252"/>
              <w:jc w:val="left"/>
            </w:pPr>
            <w:r>
              <w:rPr>
                <w:sz w:val="22"/>
                <w:szCs w:val="22"/>
              </w:rPr>
              <w:t xml:space="preserve">One sentence stating what the board should do first.</w:t>
            </w:r>
          </w:p>
        </w:tc>
        <w:tc>
          <w:tcPr>
            <w:tcW w:type="dxa" w:w="430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Ryecroft County Fund a Water Operator Academy?</w:t>
      </w:r>
    </w:p>
    <w:p>
      <w:pPr>
        <w:keepNext/>
        <w:spacing w:after="160"/>
      </w:pPr>
      <w:r>
        <w:rPr>
          <w:color w:val="5B6B70"/>
          <w:sz w:val="20"/>
          <w:szCs w:val="20"/>
        </w:rPr>
        <w:t xml:space="preserve">Writing prompt · Grade 9 · Social Studies &amp; Civics</w:t>
      </w:r>
    </w:p>
    <w:p>
      <w:pPr>
        <w:spacing w:after="100" w:line="264"/>
      </w:pPr>
      <w:r>
        <w:rPr>
          <w:b/>
          <w:bCs/>
          <w:sz w:val="22"/>
          <w:szCs w:val="22"/>
        </w:rPr>
        <w:t xml:space="preserve">Exemplar response.</w:t>
      </w:r>
      <w:r>
        <w:rPr>
          <w:sz w:val="22"/>
          <w:szCs w:val="22"/>
        </w:rPr>
        <w:t xml:space="preserve"> The following is a complete essay a strong grade 9 writer could produce for the fictional Ryecroft County board.</w:t>
      </w:r>
    </w:p>
    <w:p>
      <w:pPr>
        <w:spacing w:after="100" w:line="264"/>
      </w:pPr>
      <w:r>
        <w:rPr>
          <w:sz w:val="22"/>
          <w:szCs w:val="22"/>
        </w:rPr>
        <w:t xml:space="preserve">The Ryecroft County board should fund Plan One, the water operator academy. The county has already counted its shortage, and the academy is the only one of the two plans designed to close it.</w:t>
      </w:r>
    </w:p>
    <w:p>
      <w:pPr>
        <w:spacing w:after="100" w:line="264"/>
      </w:pPr>
      <w:r>
        <w:rPr>
          <w:sz w:val="22"/>
          <w:szCs w:val="22"/>
        </w:rPr>
        <w:t xml:space="preserve">The first reason is that the shortage is already a safety problem. The utilities director reports that 14 of the county's 61 operator positions are vacant and that three of the five drinking water plants have only one certified operator each. A single illness at one of those plants can leave it without a licensed person on site. A scholarship that a student may spend on any program does not guarantee that even one of those three plants gains a second operator.</w:t>
      </w:r>
    </w:p>
    <w:p>
      <w:pPr>
        <w:spacing w:after="100" w:line="264"/>
      </w:pPr>
      <w:r>
        <w:rPr>
          <w:sz w:val="22"/>
          <w:szCs w:val="22"/>
        </w:rPr>
        <w:t xml:space="preserve">The second reason is that the shortage will get worse without action. The EPA estimates that roughly one third of the water sector workforce is eligible to retire in the next 10 years, and Brookings found that in 2016 only about 10 percent of water workers were 24 or younger, compared with 12.5 percent of all U.S. workers. Nationally the Bureau of Labor Statistics projects about 10,000 operator openings a year through 2035, all from replacing workers who retire or move to other occupations. The gap in Ryecroft is therefore likely to widen over the next decade rather than close on its own.</w:t>
      </w:r>
    </w:p>
    <w:p>
      <w:pPr>
        <w:spacing w:after="100" w:line="264"/>
      </w:pPr>
      <w:r>
        <w:rPr>
          <w:sz w:val="22"/>
          <w:szCs w:val="22"/>
        </w:rPr>
        <w:t xml:space="preserve">The third reason is that the academy leads to work that supports a household. The Bureau of Labor Statistics reports a median wage of $60,020 a year for operators, with the lowest-paid tenth below $39,110 and the highest-paid tenth above $91,060. Entry requires a high school diploma, on-the-job training, and a state license earned by exam. A graduate can begin earning while continuing toward a higher license class or a degree later.</w:t>
      </w:r>
    </w:p>
    <w:p>
      <w:pPr>
        <w:spacing w:after="100" w:line="264"/>
      </w:pPr>
      <w:r>
        <w:rPr>
          <w:sz w:val="22"/>
          <w:szCs w:val="22"/>
        </w:rPr>
        <w:t xml:space="preserve">Supporters of Plan Two make a serious point. A scholarship fund reaches about 120 students a year instead of 30, and it respects the fact that most Ryecroft graduates want careers that have nothing to do with water. Narrowing the money to one occupation asks teenagers to serve the county's staffing problem rather than their own plans.</w:t>
      </w:r>
    </w:p>
    <w:p>
      <w:pPr>
        <w:spacing w:after="100" w:line="264"/>
      </w:pPr>
      <w:r>
        <w:rPr>
          <w:sz w:val="22"/>
          <w:szCs w:val="22"/>
        </w:rPr>
        <w:t xml:space="preserve">That argument would decide the question if the two plans were equally able to solve the county's problem, but they are not. The scholarship spreads help thinly across many goals, while the academy is aimed at a shortage that puts drinking water at risk right now. The board should fund the academy for two years, publish the number of graduates who pass the license exam, and revisit the choice before renewing it. If the academy does not close the gap, the board will have the evidence it needs to move the money to the scholarship fund instead.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34"/>
        <w:gridCol w:w="2664"/>
        <w:gridCol w:w="3233"/>
        <w:gridCol w:w="394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34"/>
            <w:tcMar>
              <w:top w:type="dxa" w:w="70"/>
              <w:left w:type="dxa" w:w="100"/>
              <w:bottom w:type="dxa" w:w="70"/>
              <w:right w:type="dxa" w:w="100"/>
            </w:tcMar>
            <w:vAlign w:val="top"/>
          </w:tcPr>
          <w:p>
            <w:pPr>
              <w:keepNext/>
              <w:spacing w:after="0" w:line="252"/>
              <w:jc w:val="left"/>
            </w:pPr>
            <w:r>
              <w:rPr>
                <w:sz w:val="20"/>
                <w:szCs w:val="20"/>
              </w:rPr>
              <w:t xml:space="preserve">No clear position, or the position shifts during the essay</w:t>
            </w:r>
          </w:p>
        </w:tc>
        <w:tc>
          <w:tcPr>
            <w:tcW w:type="dxa" w:w="2664"/>
            <w:tcMar>
              <w:top w:type="dxa" w:w="70"/>
              <w:left w:type="dxa" w:w="100"/>
              <w:bottom w:type="dxa" w:w="70"/>
              <w:right w:type="dxa" w:w="100"/>
            </w:tcMar>
            <w:vAlign w:val="top"/>
          </w:tcPr>
          <w:p>
            <w:pPr>
              <w:keepNext/>
              <w:spacing w:after="0" w:line="252"/>
              <w:jc w:val="left"/>
            </w:pPr>
            <w:r>
              <w:rPr>
                <w:sz w:val="20"/>
                <w:szCs w:val="20"/>
              </w:rPr>
              <w:t xml:space="preserve">States a position but does not name the plan or the board</w:t>
            </w:r>
          </w:p>
        </w:tc>
        <w:tc>
          <w:tcPr>
            <w:tcW w:type="dxa" w:w="3233"/>
            <w:tcMar>
              <w:top w:type="dxa" w:w="70"/>
              <w:left w:type="dxa" w:w="100"/>
              <w:bottom w:type="dxa" w:w="70"/>
              <w:right w:type="dxa" w:w="100"/>
            </w:tcMar>
            <w:vAlign w:val="top"/>
          </w:tcPr>
          <w:p>
            <w:pPr>
              <w:keepNext/>
              <w:spacing w:after="0" w:line="252"/>
              <w:jc w:val="left"/>
            </w:pPr>
            <w:r>
              <w:rPr>
                <w:sz w:val="20"/>
                <w:szCs w:val="20"/>
              </w:rPr>
              <w:t xml:space="preserve">Names one plan clearly in an opening claim addressed to the board</w:t>
            </w:r>
          </w:p>
        </w:tc>
        <w:tc>
          <w:tcPr>
            <w:tcW w:type="dxa" w:w="3941"/>
            <w:tcMar>
              <w:top w:type="dxa" w:w="70"/>
              <w:left w:type="dxa" w:w="100"/>
              <w:bottom w:type="dxa" w:w="70"/>
              <w:right w:type="dxa" w:w="100"/>
            </w:tcMar>
            <w:vAlign w:val="top"/>
          </w:tcPr>
          <w:p>
            <w:pPr>
              <w:keepNext/>
              <w:spacing w:after="0" w:line="252"/>
              <w:jc w:val="left"/>
            </w:pPr>
            <w:r>
              <w:rPr>
                <w:sz w:val="20"/>
                <w:szCs w:val="20"/>
              </w:rPr>
              <w:t xml:space="preserve">Names one plan and previews the reasons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334"/>
            <w:tcMar>
              <w:top w:type="dxa" w:w="70"/>
              <w:left w:type="dxa" w:w="100"/>
              <w:bottom w:type="dxa" w:w="70"/>
              <w:right w:type="dxa" w:w="100"/>
            </w:tcMar>
            <w:vAlign w:val="top"/>
          </w:tcPr>
          <w:p>
            <w:pPr>
              <w:keepNext/>
              <w:spacing w:after="0" w:line="252"/>
              <w:jc w:val="left"/>
            </w:pPr>
            <w:r>
              <w:rPr>
                <w:sz w:val="20"/>
                <w:szCs w:val="20"/>
              </w:rPr>
              <w:t xml:space="preserve">Uses no figures from the background</w:t>
            </w:r>
          </w:p>
        </w:tc>
        <w:tc>
          <w:tcPr>
            <w:tcW w:type="dxa" w:w="2664"/>
            <w:tcMar>
              <w:top w:type="dxa" w:w="70"/>
              <w:left w:type="dxa" w:w="100"/>
              <w:bottom w:type="dxa" w:w="70"/>
              <w:right w:type="dxa" w:w="100"/>
            </w:tcMar>
            <w:vAlign w:val="top"/>
          </w:tcPr>
          <w:p>
            <w:pPr>
              <w:keepNext/>
              <w:spacing w:after="0" w:line="252"/>
              <w:jc w:val="left"/>
            </w:pPr>
            <w:r>
              <w:rPr>
                <w:sz w:val="20"/>
                <w:szCs w:val="20"/>
              </w:rPr>
              <w:t xml:space="preserve">Uses one figure, or uses figures without naming a source</w:t>
            </w:r>
          </w:p>
        </w:tc>
        <w:tc>
          <w:tcPr>
            <w:tcW w:type="dxa" w:w="3233"/>
            <w:tcMar>
              <w:top w:type="dxa" w:w="70"/>
              <w:left w:type="dxa" w:w="100"/>
              <w:bottom w:type="dxa" w:w="70"/>
              <w:right w:type="dxa" w:w="100"/>
            </w:tcMar>
            <w:vAlign w:val="top"/>
          </w:tcPr>
          <w:p>
            <w:pPr>
              <w:keepNext/>
              <w:spacing w:after="0" w:line="252"/>
              <w:jc w:val="left"/>
            </w:pPr>
            <w:r>
              <w:rPr>
                <w:sz w:val="20"/>
                <w:szCs w:val="20"/>
              </w:rPr>
              <w:t xml:space="preserve">Uses at least three figures from the background and names each source</w:t>
            </w:r>
          </w:p>
        </w:tc>
        <w:tc>
          <w:tcPr>
            <w:tcW w:type="dxa" w:w="3941"/>
            <w:tcMar>
              <w:top w:type="dxa" w:w="70"/>
              <w:left w:type="dxa" w:w="100"/>
              <w:bottom w:type="dxa" w:w="70"/>
              <w:right w:type="dxa" w:w="100"/>
            </w:tcMar>
            <w:vAlign w:val="top"/>
          </w:tcPr>
          <w:p>
            <w:pPr>
              <w:keepNext/>
              <w:spacing w:after="0" w:line="252"/>
              <w:jc w:val="left"/>
            </w:pPr>
            <w:r>
              <w:rPr>
                <w:sz w:val="20"/>
                <w:szCs w:val="20"/>
              </w:rPr>
              <w:t xml:space="preserve">Uses at least three figures, names each source, and explains what each one shows about the county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334"/>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664"/>
            <w:tcMar>
              <w:top w:type="dxa" w:w="70"/>
              <w:left w:type="dxa" w:w="100"/>
              <w:bottom w:type="dxa" w:w="70"/>
              <w:right w:type="dxa" w:w="100"/>
            </w:tcMar>
            <w:vAlign w:val="top"/>
          </w:tcPr>
          <w:p>
            <w:pPr>
              <w:keepNext/>
              <w:spacing w:after="0" w:line="252"/>
              <w:jc w:val="left"/>
            </w:pPr>
            <w:r>
              <w:rPr>
                <w:sz w:val="20"/>
                <w:szCs w:val="20"/>
              </w:rPr>
              <w:t xml:space="preserve">States a counterclaim but does not answer it</w:t>
            </w:r>
          </w:p>
        </w:tc>
        <w:tc>
          <w:tcPr>
            <w:tcW w:type="dxa" w:w="3233"/>
            <w:tcMar>
              <w:top w:type="dxa" w:w="70"/>
              <w:left w:type="dxa" w:w="100"/>
              <w:bottom w:type="dxa" w:w="70"/>
              <w:right w:type="dxa" w:w="100"/>
            </w:tcMar>
            <w:vAlign w:val="top"/>
          </w:tcPr>
          <w:p>
            <w:pPr>
              <w:keepNext/>
              <w:spacing w:after="0" w:line="252"/>
              <w:jc w:val="left"/>
            </w:pPr>
            <w:r>
              <w:rPr>
                <w:sz w:val="20"/>
                <w:szCs w:val="20"/>
              </w:rPr>
              <w:t xml:space="preserve">States the other side's strongest argument fairly and answers it</w:t>
            </w:r>
          </w:p>
        </w:tc>
        <w:tc>
          <w:tcPr>
            <w:tcW w:type="dxa" w:w="3941"/>
            <w:tcMar>
              <w:top w:type="dxa" w:w="70"/>
              <w:left w:type="dxa" w:w="100"/>
              <w:bottom w:type="dxa" w:w="70"/>
              <w:right w:type="dxa" w:w="100"/>
            </w:tcMar>
            <w:vAlign w:val="top"/>
          </w:tcPr>
          <w:p>
            <w:pPr>
              <w:keepNext/>
              <w:spacing w:after="0" w:line="252"/>
              <w:jc w:val="left"/>
            </w:pPr>
            <w:r>
              <w:rPr>
                <w:sz w:val="20"/>
                <w:szCs w:val="20"/>
              </w:rPr>
              <w:t xml:space="preserve">States the strongest opposing argument, answers it, and names the condition under which it would win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334"/>
            <w:tcMar>
              <w:top w:type="dxa" w:w="70"/>
              <w:left w:type="dxa" w:w="100"/>
              <w:bottom w:type="dxa" w:w="70"/>
              <w:right w:type="dxa" w:w="100"/>
            </w:tcMar>
            <w:vAlign w:val="top"/>
          </w:tcPr>
          <w:p>
            <w:pPr>
              <w:spacing w:after="0" w:line="252"/>
              <w:jc w:val="left"/>
            </w:pPr>
            <w:r>
              <w:rPr>
                <w:sz w:val="20"/>
                <w:szCs w:val="20"/>
              </w:rPr>
              <w:t xml:space="preserve">Paragraphs do not follow a plan and errors block meaning</w:t>
            </w:r>
          </w:p>
        </w:tc>
        <w:tc>
          <w:tcPr>
            <w:tcW w:type="dxa" w:w="2664"/>
            <w:tcMar>
              <w:top w:type="dxa" w:w="70"/>
              <w:left w:type="dxa" w:w="100"/>
              <w:bottom w:type="dxa" w:w="70"/>
              <w:right w:type="dxa" w:w="100"/>
            </w:tcMar>
            <w:vAlign w:val="top"/>
          </w:tcPr>
          <w:p>
            <w:pPr>
              <w:spacing w:after="0" w:line="252"/>
              <w:jc w:val="left"/>
            </w:pPr>
            <w:r>
              <w:rPr>
                <w:sz w:val="20"/>
                <w:szCs w:val="20"/>
              </w:rPr>
              <w:t xml:space="preserve">Some structure is visible but transitions are missing</w:t>
            </w:r>
          </w:p>
        </w:tc>
        <w:tc>
          <w:tcPr>
            <w:tcW w:type="dxa" w:w="3233"/>
            <w:tcMar>
              <w:top w:type="dxa" w:w="70"/>
              <w:left w:type="dxa" w:w="100"/>
              <w:bottom w:type="dxa" w:w="70"/>
              <w:right w:type="dxa" w:w="100"/>
            </w:tcMar>
            <w:vAlign w:val="top"/>
          </w:tcPr>
          <w:p>
            <w:pPr>
              <w:spacing w:after="0" w:line="252"/>
              <w:jc w:val="left"/>
            </w:pPr>
            <w:r>
              <w:rPr>
                <w:sz w:val="20"/>
                <w:szCs w:val="20"/>
              </w:rPr>
              <w:t xml:space="preserve">Four to six clear paragraphs with transitions and few errors</w:t>
            </w:r>
          </w:p>
        </w:tc>
        <w:tc>
          <w:tcPr>
            <w:tcW w:type="dxa" w:w="3941"/>
            <w:tcMar>
              <w:top w:type="dxa" w:w="70"/>
              <w:left w:type="dxa" w:w="100"/>
              <w:bottom w:type="dxa" w:w="70"/>
              <w:right w:type="dxa" w:w="100"/>
            </w:tcMar>
            <w:vAlign w:val="top"/>
          </w:tcPr>
          <w:p>
            <w:pPr>
              <w:spacing w:after="0" w:line="252"/>
              <w:jc w:val="left"/>
            </w:pPr>
            <w:r>
              <w:rPr>
                <w:sz w:val="20"/>
                <w:szCs w:val="20"/>
              </w:rPr>
              <w:t xml:space="preserve">Clear paragraphs, purposeful transitions, and a closing recommendation the board could act on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Ryecroft County Fund a Water Operator Academy?</dc:title>
  <dc:subject>Writing prompt · Grade 9 · Social Studies &amp; Civics</dc:subject>
  <dc:creator>Water for Schools</dc:creator>
  <cp:keywords>Writing prompt, Grade 9, Social Studies &amp; Civics</cp:keywords>
  <dc:description>A grade 9 argument writing prompt in which students weigh a fictional county's operator training academy against an open scholarship fund, using BLS workforce data.</dc:description>
  <cp:lastModifiedBy>Water for Schools</cp:lastModifiedBy>
  <cp:revision>1</cp:revision>
  <dcterms:created xsi:type="dcterms:W3CDTF">2026-10-19T16:29:29.832Z</dcterms:created>
  <dcterms:modified xsi:type="dcterms:W3CDTF">2026-10-19T16:29:29.832Z</dcterms:modified>
</cp:coreProperties>
</file>

<file path=docProps/custom.xml><?xml version="1.0" encoding="utf-8"?>
<Properties xmlns="http://schemas.openxmlformats.org/officeDocument/2006/custom-properties" xmlns:vt="http://schemas.openxmlformats.org/officeDocument/2006/docPropsVTypes"/>
</file>