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Spruce County Turbidity: A Water-Quality Compliance Worksheet</w:t>
      </w:r>
    </w:p>
    <w:p>
      <w:pPr>
        <w:keepNext/>
        <w:spacing w:after="160"/>
      </w:pPr>
      <w:r>
        <w:rPr>
          <w:color w:val="5B6B70"/>
          <w:sz w:val="20"/>
          <w:szCs w:val="20"/>
        </w:rPr>
        <w:t xml:space="preserve">Worksheet · Grade 9 · Social Studies &amp; Civics</w:t>
      </w:r>
    </w:p>
    <w:p>
      <w:pPr>
        <w:spacing w:after="100" w:line="264"/>
      </w:pPr>
      <w:r>
        <w:rPr>
          <w:i/>
          <w:iCs/>
          <w:color w:val="12333F"/>
          <w:sz w:val="22"/>
          <w:szCs w:val="22"/>
        </w:rPr>
        <w:t xml:space="preserve">Grade 9 worksheet where students calculate a fictional rural water system's monthly turbidity compliance percentage against the real federal 95 percent standard.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percent of water samples meeting a stated regulatory standard from a data table.</w:t>
      </w:r>
    </w:p>
    <w:p>
      <w:pPr>
        <w:pStyle w:val="ListParagraph"/>
        <w:keepNext/>
        <w:keepLines/>
        <w:numPr>
          <w:ilvl w:val="0"/>
          <w:numId w:val="2"/>
        </w:numPr>
        <w:spacing w:after="60" w:line="264"/>
        <w:ind w:left="720" w:hanging="360"/>
      </w:pPr>
      <w:r>
        <w:rPr>
          <w:sz w:val="22"/>
          <w:szCs w:val="22"/>
        </w:rPr>
        <w:t xml:space="preserve">Students will compare a calculated compliance rate to the required federal threshold and determine the size of any shortfall.</w:t>
      </w:r>
    </w:p>
    <w:p>
      <w:pPr>
        <w:pStyle w:val="ListParagraph"/>
        <w:keepLines/>
        <w:numPr>
          <w:ilvl w:val="0"/>
          <w:numId w:val="2"/>
        </w:numPr>
        <w:spacing w:after="60" w:line="264"/>
        <w:ind w:left="720" w:hanging="360"/>
      </w:pPr>
      <w:r>
        <w:rPr>
          <w:sz w:val="22"/>
          <w:szCs w:val="22"/>
        </w:rPr>
        <w:t xml:space="preserve">Students will evaluate an intended benefit and an unintended cost of a water-quality regulation for a small water system.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Items 2 through 7 require students to define and calculate the correct quantity, a percent-compliant figure, from a raw sample table to answer a specific regulatory question about Spruce County's water system.</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Items 8 and 9 require students to evaluate the turbidity regulation's intended public-health outcome against an unintended cost for a small rural system, and to propose a governing board's next civic steps.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NTU, compliance, corrective action</w:t>
      </w:r>
    </w:p>
    <w:p>
      <w:pPr>
        <w:pStyle w:val="Heading2"/>
        <w:keepNext/>
        <w:keepLines/>
      </w:pPr>
      <w:r>
        <w:rPr>
          <w:sz w:val="28"/>
          <w:szCs w:val="28"/>
        </w:rPr>
        <w:t xml:space="preserve">Teacher overview</w:t>
      </w:r>
    </w:p>
    <w:p>
      <w:pPr>
        <w:spacing w:after="100" w:line="264"/>
      </w:pPr>
      <w:r>
        <w:rPr>
          <w:sz w:val="22"/>
          <w:szCs w:val="22"/>
        </w:rPr>
        <w:t xml:space="preserve">Federal regulation sets a specific bar for how clear treated drinking water must be: finished water must measure at or below 0.3 NTU (a unit of cloudiness called turbidity) in at least 95 percent of a system's monthly samples, and no single sample may ever exceed 1 NTU. This worksheet gives students a fictional rural water authority's monthly sample record and asks them to calculate whether that system met the standard, a task that mirrors the compliance reviews a real water board must complete every month. A common misconception this worksheet addresses is that meeting the 95 percent rule is the whole standard; in fact, a system can hit 95 percent and still violate the regulation if even one sample exceeds the absolute 1 NTU ceiling, which item 5 is built to surface directly.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version of the table with a third column already marked "meets 0.3 NTU" or "does not meet," so students focus on counting and calculating the percent rather than scanning 20 rows for each item. Work through item 3's percent calculation together as a class before students attempt items 4 through 7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decide, using only the rules and numbers on this worksheet, whether a month in which 19 of 20 samples are at or below 0.3 NTU and the twentieth sample is above 1 NTU would still put the county out of compliance, and to explain why in a short paragraph.</w:t>
      </w:r>
    </w:p>
    <w:p>
      <w:pPr>
        <w:pStyle w:val="Heading3"/>
        <w:keepNext/>
        <w:keepLines/>
      </w:pPr>
      <w:r>
        <w:rPr>
          <w:sz w:val="24"/>
          <w:szCs w:val="24"/>
        </w:rPr>
        <w:t xml:space="preserve">ELL supports</w:t>
      </w:r>
    </w:p>
    <w:p>
      <w:pPr>
        <w:spacing w:after="100" w:line="264"/>
      </w:pPr>
      <w:r>
        <w:rPr>
          <w:sz w:val="22"/>
          <w:szCs w:val="22"/>
        </w:rPr>
        <w:t xml:space="preserve">Pre-teach "turbidity," "NTU," and "compliance" with a simple visual showing two glasses of water, one clear (low NTU) and one cloudy (high NTU), labeled with their approximate NTU values. Allow items 8 and 9 to be answered with short bulleted phrases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Spruce County Turbidity: A Water-Quality Compliance Worksheet</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Worksheet</w:t>
      </w:r>
    </w:p>
    <w:p>
      <w:pPr>
        <w:spacing w:after="120" w:line="276"/>
      </w:pPr>
      <w:r>
        <w:rPr>
          <w:sz w:val="22"/>
          <w:szCs w:val="22"/>
        </w:rPr>
        <w:t xml:space="preserve">The fictional Spruce County Rural Water Authority collected 20 turbidity samples this month. Use the table below and the federal standard (0.3 NTU or below in at least 95 percent of samples; no sample may ever exceed 1 NTU) to answer the items that follow.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24"/>
        <w:gridCol w:w="2016"/>
        <w:gridCol w:w="3024"/>
        <w:gridCol w:w="2016"/>
      </w:tblGrid>
      <w:tr>
        <w:trPr>
          <w:cantSplit/>
          <w:tblHeader/>
        </w:trPr>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Sample</w:t>
            </w:r>
          </w:p>
        </w:tc>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NTU</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Sample</w:t>
            </w:r>
          </w:p>
        </w:tc>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NTU</w:t>
            </w:r>
          </w:p>
        </w:tc>
      </w:tr>
      <w:tr>
        <w:trPr>
          <w:cantSplit/>
        </w:trPr>
        <w:tc>
          <w:tcPr>
            <w:tcW w:type="dxa" w:w="3024"/>
            <w:tcMar>
              <w:top w:type="dxa" w:w="70"/>
              <w:left w:type="dxa" w:w="100"/>
              <w:bottom w:type="dxa" w:w="70"/>
              <w:right w:type="dxa" w:w="100"/>
            </w:tcMar>
            <w:vAlign w:val="top"/>
          </w:tcPr>
          <w:p>
            <w:pPr>
              <w:keepNext/>
              <w:spacing w:after="0" w:line="252"/>
              <w:jc w:val="left"/>
            </w:pPr>
            <w:r>
              <w:rPr>
                <w:sz w:val="22"/>
                <w:szCs w:val="22"/>
              </w:rPr>
              <w:t xml:space="preserve">1</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0.18</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11</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0.21</w:t>
            </w:r>
          </w:p>
        </w:tc>
      </w:tr>
      <w:tr>
        <w:trPr>
          <w:cantSplit/>
        </w:trPr>
        <w:tc>
          <w:tcPr>
            <w:tcW w:type="dxa" w:w="3024"/>
            <w:tcMar>
              <w:top w:type="dxa" w:w="70"/>
              <w:left w:type="dxa" w:w="100"/>
              <w:bottom w:type="dxa" w:w="70"/>
              <w:right w:type="dxa" w:w="100"/>
            </w:tcMar>
            <w:vAlign w:val="top"/>
          </w:tcPr>
          <w:p>
            <w:pPr>
              <w:keepNext/>
              <w:spacing w:after="0" w:line="252"/>
              <w:jc w:val="left"/>
            </w:pPr>
            <w:r>
              <w:rPr>
                <w:sz w:val="22"/>
                <w:szCs w:val="22"/>
              </w:rPr>
              <w:t xml:space="preserve">2</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0.22</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0.26</w:t>
            </w:r>
          </w:p>
        </w:tc>
      </w:tr>
      <w:tr>
        <w:trPr>
          <w:cantSplit/>
        </w:trPr>
        <w:tc>
          <w:tcPr>
            <w:tcW w:type="dxa" w:w="3024"/>
            <w:tcMar>
              <w:top w:type="dxa" w:w="70"/>
              <w:left w:type="dxa" w:w="100"/>
              <w:bottom w:type="dxa" w:w="70"/>
              <w:right w:type="dxa" w:w="100"/>
            </w:tcMar>
            <w:vAlign w:val="top"/>
          </w:tcPr>
          <w:p>
            <w:pPr>
              <w:keepNext/>
              <w:spacing w:after="0" w:line="252"/>
              <w:jc w:val="left"/>
            </w:pPr>
            <w:r>
              <w:rPr>
                <w:sz w:val="22"/>
                <w:szCs w:val="22"/>
              </w:rPr>
              <w:t xml:space="preserve">3</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0.25</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13</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0.23</w:t>
            </w:r>
          </w:p>
        </w:tc>
      </w:tr>
      <w:tr>
        <w:trPr>
          <w:cantSplit/>
        </w:trPr>
        <w:tc>
          <w:tcPr>
            <w:tcW w:type="dxa" w:w="3024"/>
            <w:tcMar>
              <w:top w:type="dxa" w:w="70"/>
              <w:left w:type="dxa" w:w="100"/>
              <w:bottom w:type="dxa" w:w="70"/>
              <w:right w:type="dxa" w:w="100"/>
            </w:tcMar>
            <w:vAlign w:val="top"/>
          </w:tcPr>
          <w:p>
            <w:pPr>
              <w:keepNext/>
              <w:spacing w:after="0" w:line="252"/>
              <w:jc w:val="left"/>
            </w:pPr>
            <w:r>
              <w:rPr>
                <w:sz w:val="22"/>
                <w:szCs w:val="22"/>
              </w:rPr>
              <w:t xml:space="preserve">4</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0.19</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0.28</w:t>
            </w:r>
          </w:p>
        </w:tc>
      </w:tr>
      <w:tr>
        <w:trPr>
          <w:cantSplit/>
        </w:trPr>
        <w:tc>
          <w:tcPr>
            <w:tcW w:type="dxa" w:w="3024"/>
            <w:tcMar>
              <w:top w:type="dxa" w:w="70"/>
              <w:left w:type="dxa" w:w="100"/>
              <w:bottom w:type="dxa" w:w="70"/>
              <w:right w:type="dxa" w:w="100"/>
            </w:tcMar>
            <w:vAlign w:val="top"/>
          </w:tcPr>
          <w:p>
            <w:pPr>
              <w:keepNext/>
              <w:spacing w:after="0" w:line="252"/>
              <w:jc w:val="left"/>
            </w:pPr>
            <w:r>
              <w:rPr>
                <w:sz w:val="22"/>
                <w:szCs w:val="22"/>
              </w:rPr>
              <w:t xml:space="preserve">5</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0.27</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1.10</w:t>
            </w:r>
          </w:p>
        </w:tc>
      </w:tr>
      <w:tr>
        <w:trPr>
          <w:cantSplit/>
        </w:trPr>
        <w:tc>
          <w:tcPr>
            <w:tcW w:type="dxa" w:w="3024"/>
            <w:tcMar>
              <w:top w:type="dxa" w:w="70"/>
              <w:left w:type="dxa" w:w="100"/>
              <w:bottom w:type="dxa" w:w="70"/>
              <w:right w:type="dxa" w:w="100"/>
            </w:tcMar>
            <w:vAlign w:val="top"/>
          </w:tcPr>
          <w:p>
            <w:pPr>
              <w:keepNext/>
              <w:spacing w:after="0" w:line="252"/>
              <w:jc w:val="left"/>
            </w:pPr>
            <w:r>
              <w:rPr>
                <w:sz w:val="22"/>
                <w:szCs w:val="22"/>
              </w:rPr>
              <w:t xml:space="preserve">6</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0.31</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16</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0.19</w:t>
            </w:r>
          </w:p>
        </w:tc>
      </w:tr>
      <w:tr>
        <w:trPr>
          <w:cantSplit/>
        </w:trPr>
        <w:tc>
          <w:tcPr>
            <w:tcW w:type="dxa" w:w="3024"/>
            <w:tcMar>
              <w:top w:type="dxa" w:w="70"/>
              <w:left w:type="dxa" w:w="100"/>
              <w:bottom w:type="dxa" w:w="70"/>
              <w:right w:type="dxa" w:w="100"/>
            </w:tcMar>
            <w:vAlign w:val="top"/>
          </w:tcPr>
          <w:p>
            <w:pPr>
              <w:keepNext/>
              <w:spacing w:after="0" w:line="252"/>
              <w:jc w:val="left"/>
            </w:pPr>
            <w:r>
              <w:rPr>
                <w:sz w:val="22"/>
                <w:szCs w:val="22"/>
              </w:rPr>
              <w:t xml:space="preserve">7</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0.24</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17</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0.24</w:t>
            </w:r>
          </w:p>
        </w:tc>
      </w:tr>
      <w:tr>
        <w:trPr>
          <w:cantSplit/>
        </w:trPr>
        <w:tc>
          <w:tcPr>
            <w:tcW w:type="dxa" w:w="3024"/>
            <w:tcMar>
              <w:top w:type="dxa" w:w="70"/>
              <w:left w:type="dxa" w:w="100"/>
              <w:bottom w:type="dxa" w:w="70"/>
              <w:right w:type="dxa" w:w="100"/>
            </w:tcMar>
            <w:vAlign w:val="top"/>
          </w:tcPr>
          <w:p>
            <w:pPr>
              <w:keepNext/>
              <w:spacing w:after="0" w:line="252"/>
              <w:jc w:val="left"/>
            </w:pPr>
            <w:r>
              <w:rPr>
                <w:sz w:val="22"/>
                <w:szCs w:val="22"/>
              </w:rPr>
              <w:t xml:space="preserve">8</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0.20</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0.22</w:t>
            </w:r>
          </w:p>
        </w:tc>
      </w:tr>
      <w:tr>
        <w:trPr>
          <w:cantSplit/>
        </w:trPr>
        <w:tc>
          <w:tcPr>
            <w:tcW w:type="dxa" w:w="3024"/>
            <w:tcMar>
              <w:top w:type="dxa" w:w="70"/>
              <w:left w:type="dxa" w:w="100"/>
              <w:bottom w:type="dxa" w:w="70"/>
              <w:right w:type="dxa" w:w="100"/>
            </w:tcMar>
            <w:vAlign w:val="top"/>
          </w:tcPr>
          <w:p>
            <w:pPr>
              <w:keepNext/>
              <w:spacing w:after="0" w:line="252"/>
              <w:jc w:val="left"/>
            </w:pPr>
            <w:r>
              <w:rPr>
                <w:sz w:val="22"/>
                <w:szCs w:val="22"/>
              </w:rPr>
              <w:t xml:space="preserve">9</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0.29</w:t>
            </w:r>
          </w:p>
        </w:tc>
        <w:tc>
          <w:tcPr>
            <w:tcW w:type="dxa" w:w="3024"/>
            <w:tcMar>
              <w:top w:type="dxa" w:w="70"/>
              <w:left w:type="dxa" w:w="100"/>
              <w:bottom w:type="dxa" w:w="70"/>
              <w:right w:type="dxa" w:w="100"/>
            </w:tcMar>
            <w:vAlign w:val="top"/>
          </w:tcPr>
          <w:p>
            <w:pPr>
              <w:keepNext/>
              <w:spacing w:after="0" w:line="252"/>
              <w:jc w:val="left"/>
            </w:pPr>
            <w:r>
              <w:rPr>
                <w:sz w:val="22"/>
                <w:szCs w:val="22"/>
              </w:rPr>
              <w:t xml:space="preserve">19</w:t>
            </w:r>
          </w:p>
        </w:tc>
        <w:tc>
          <w:tcPr>
            <w:tcW w:type="dxa" w:w="2016"/>
            <w:tcMar>
              <w:top w:type="dxa" w:w="70"/>
              <w:left w:type="dxa" w:w="100"/>
              <w:bottom w:type="dxa" w:w="70"/>
              <w:right w:type="dxa" w:w="100"/>
            </w:tcMar>
            <w:vAlign w:val="top"/>
          </w:tcPr>
          <w:p>
            <w:pPr>
              <w:keepNext/>
              <w:spacing w:after="0" w:line="252"/>
              <w:jc w:val="left"/>
            </w:pPr>
            <w:r>
              <w:rPr>
                <w:sz w:val="22"/>
                <w:szCs w:val="22"/>
              </w:rPr>
              <w:t xml:space="preserve">0.30</w:t>
            </w:r>
          </w:p>
        </w:tc>
      </w:tr>
      <w:tr>
        <w:trPr>
          <w:cantSplit/>
        </w:trPr>
        <w:tc>
          <w:tcPr>
            <w:tcW w:type="dxa" w:w="3024"/>
            <w:tcMar>
              <w:top w:type="dxa" w:w="70"/>
              <w:left w:type="dxa" w:w="100"/>
              <w:bottom w:type="dxa" w:w="70"/>
              <w:right w:type="dxa" w:w="100"/>
            </w:tcMar>
            <w:vAlign w:val="top"/>
          </w:tcPr>
          <w:p>
            <w:pPr>
              <w:spacing w:after="0" w:line="252"/>
              <w:jc w:val="left"/>
            </w:pPr>
            <w:r>
              <w:rPr>
                <w:sz w:val="22"/>
                <w:szCs w:val="22"/>
              </w:rPr>
              <w:t xml:space="preserve">10</w:t>
            </w:r>
          </w:p>
        </w:tc>
        <w:tc>
          <w:tcPr>
            <w:tcW w:type="dxa" w:w="2016"/>
            <w:tcMar>
              <w:top w:type="dxa" w:w="70"/>
              <w:left w:type="dxa" w:w="100"/>
              <w:bottom w:type="dxa" w:w="70"/>
              <w:right w:type="dxa" w:w="100"/>
            </w:tcMar>
            <w:vAlign w:val="top"/>
          </w:tcPr>
          <w:p>
            <w:pPr>
              <w:spacing w:after="0" w:line="252"/>
              <w:jc w:val="left"/>
            </w:pPr>
            <w:r>
              <w:rPr>
                <w:sz w:val="22"/>
                <w:szCs w:val="22"/>
              </w:rPr>
              <w:t xml:space="preserve">0.33</w:t>
            </w:r>
          </w:p>
        </w:tc>
        <w:tc>
          <w:tcPr>
            <w:tcW w:type="dxa" w:w="3024"/>
            <w:tcMar>
              <w:top w:type="dxa" w:w="70"/>
              <w:left w:type="dxa" w:w="100"/>
              <w:bottom w:type="dxa" w:w="70"/>
              <w:right w:type="dxa" w:w="100"/>
            </w:tcMar>
            <w:vAlign w:val="top"/>
          </w:tcPr>
          <w:p>
            <w:pPr>
              <w:spacing w:after="0" w:line="252"/>
              <w:jc w:val="left"/>
            </w:pPr>
            <w:r>
              <w:rPr>
                <w:sz w:val="22"/>
                <w:szCs w:val="22"/>
              </w:rPr>
              <w:t xml:space="preserve">20</w:t>
            </w:r>
          </w:p>
        </w:tc>
        <w:tc>
          <w:tcPr>
            <w:tcW w:type="dxa" w:w="2016"/>
            <w:tcMar>
              <w:top w:type="dxa" w:w="70"/>
              <w:left w:type="dxa" w:w="100"/>
              <w:bottom w:type="dxa" w:w="70"/>
              <w:right w:type="dxa" w:w="100"/>
            </w:tcMar>
            <w:vAlign w:val="top"/>
          </w:tcPr>
          <w:p>
            <w:pPr>
              <w:spacing w:after="0" w:line="252"/>
              <w:jc w:val="left"/>
            </w:pPr>
            <w:r>
              <w:rPr>
                <w:sz w:val="22"/>
                <w:szCs w:val="22"/>
              </w:rPr>
              <w:t xml:space="preserve">0.25</w:t>
            </w:r>
          </w:p>
        </w:tc>
      </w:tr>
    </w:tbl>
    <w:p>
      <w:pPr>
        <w:spacing w:after="160" w:before="0"/>
      </w:pPr>
    </w:p>
    <w:p>
      <w:pPr>
        <w:pStyle w:val="ListParagraph"/>
        <w:keepNext/>
        <w:keepLines/>
        <w:numPr>
          <w:ilvl w:val="0"/>
          <w:numId w:val="3"/>
        </w:numPr>
        <w:spacing w:after="100" w:line="276"/>
        <w:ind w:left="720" w:hanging="360"/>
      </w:pPr>
      <w:r>
        <w:rPr>
          <w:sz w:val="22"/>
          <w:szCs w:val="22"/>
        </w:rPr>
        <w:t xml:space="preserve">According to federal regulation, what turbidity level must be met in at least 95 percent of a system's monthly samples, and what is the absolute maximum a single sample may ever reach?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Count how many of Spruce County's 20 samples are at or below 0.3 NTU.</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percent of Spruce County's samples that were at or below 0.3 NTU this month.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Spruce County meeting the 95 percent standard this month? By how many percentage points does it fall short of, or exceed, the standard?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Identify any sample(s) in the table that exceed the absolute 1 NTU ceiling. Why does a single sample above 1 NTU matter even if a system still meets the 95 percent rule overall?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Spruce County wants to reach the 95 percent standard next month while still collecting 20 samples, how many of those 20 samples would need to test at or below 0.3 NTU?</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Compare your answer in item 6 to the actual count from item 2. How many additional samples would need to test at or below 0.3 NTU for Spruce County to meet the standard?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two to three sentences, describe two steps the Spruce County Rural Water Authority board should take at its next public meeting after seeing this month's results, addressing both the treatment problem and the county's responsibility to inform residents.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Evaluate the turbidity regulation itself. Name one likely benefit and one likely unintended cost of the rule for a small rural system like Spruce County's, in one to two sentences each.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Spruce County Turbidity: A Water-Quality Compliance Worksheet</w:t>
      </w:r>
    </w:p>
    <w:p>
      <w:pPr>
        <w:keepNext/>
        <w:spacing w:after="160"/>
      </w:pPr>
      <w:r>
        <w:rPr>
          <w:color w:val="5B6B70"/>
          <w:sz w:val="20"/>
          <w:szCs w:val="20"/>
        </w:rPr>
        <w:t xml:space="preserve">Worksheet · Grade 9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 NTU in 95 percent of samples; 1 NTU absolute maximum.</w:t>
      </w:r>
      <w:r>
        <w:rPr>
          <w:sz w:val="22"/>
          <w:szCs w:val="22"/>
        </w:rPr>
        <w:br/>
      </w:r>
      <w:r>
        <w:rPr>
          <w:sz w:val="22"/>
          <w:szCs w:val="22"/>
        </w:rPr>
        <w:t xml:space="preserve">The federal standard requires finished water at or below 0.3 NTU in at least 95 percent of a system's monthly samples, and no single sample may ever exceed 1 NTU, regardless of the monthly average.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 samples.</w:t>
      </w:r>
      <w:r>
        <w:rPr>
          <w:sz w:val="22"/>
          <w:szCs w:val="22"/>
        </w:rPr>
        <w:br/>
      </w:r>
      <w:r>
        <w:rPr>
          <w:sz w:val="22"/>
          <w:szCs w:val="22"/>
        </w:rPr>
        <w:t xml:space="preserve">Samples 1-5, 7-9, 11-14, and 16-20 are all at or below 0.3 NTU; samples 6 (0.31), 10 (0.33), and 15 (1.10) are not, leaving 20 - 3 = 17.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85 percent.</w:t>
      </w:r>
      <w:r>
        <w:rPr>
          <w:sz w:val="22"/>
          <w:szCs w:val="22"/>
        </w:rPr>
        <w:br/>
      </w:r>
      <w:r>
        <w:rPr>
          <w:sz w:val="22"/>
          <w:szCs w:val="22"/>
        </w:rPr>
        <w:t xml:space="preserve">17 / 20 = 0.85, or 85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Spruce County falls short by 10 percentage points.</w:t>
      </w:r>
      <w:r>
        <w:rPr>
          <w:sz w:val="22"/>
          <w:szCs w:val="22"/>
        </w:rPr>
        <w:br/>
      </w:r>
      <w:r>
        <w:rPr>
          <w:sz w:val="22"/>
          <w:szCs w:val="22"/>
        </w:rPr>
        <w:t xml:space="preserve">95 percent - 85 percent = 10 percentage points below the required standard.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Sample 15, at 1.10 NTU.</w:t>
      </w:r>
      <w:r>
        <w:rPr>
          <w:sz w:val="22"/>
          <w:szCs w:val="22"/>
        </w:rPr>
        <w:br/>
      </w:r>
      <w:r>
        <w:rPr>
          <w:sz w:val="22"/>
          <w:szCs w:val="22"/>
        </w:rPr>
        <w:t xml:space="preserve">A single sample above 1 NTU is an automatic violation of the never-exceed rule, separate from and in addition to the 95 percent calculation, because the ceiling exists to catch any single moment when treatment fails, not just the monthly pattern.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 samples.</w:t>
      </w:r>
      <w:r>
        <w:rPr>
          <w:sz w:val="22"/>
          <w:szCs w:val="22"/>
        </w:rPr>
        <w:br/>
      </w:r>
      <w:r>
        <w:rPr>
          <w:sz w:val="22"/>
          <w:szCs w:val="22"/>
        </w:rPr>
        <w:t xml:space="preserve">95 percent of 20 samples is 0.95 x 20 = 19 samples.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additional samples.</w:t>
      </w:r>
      <w:r>
        <w:rPr>
          <w:sz w:val="22"/>
          <w:szCs w:val="22"/>
        </w:rPr>
        <w:br/>
      </w:r>
      <w:r>
        <w:rPr>
          <w:sz w:val="22"/>
          <w:szCs w:val="22"/>
        </w:rPr>
        <w:t xml:space="preserve">19 (the number needed) - 17 (the number currently at or below 0.3 NTU) = 2 additional samples.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name a treatment step and a public-notification step.</w:t>
      </w:r>
      <w:r>
        <w:rPr>
          <w:sz w:val="22"/>
          <w:szCs w:val="22"/>
        </w:rPr>
        <w:br/>
      </w:r>
      <w:r>
        <w:rPr>
          <w:sz w:val="22"/>
          <w:szCs w:val="22"/>
        </w:rPr>
        <w:t xml:space="preserve">A reasonable answer directs the plant operator to inspect and likely replace filter media or adjust the coagulant dose that controls turbidity, and separately schedules a public meeting or notice explaining the exceedance and the county's corrective action plan to residents.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reasonable response names one benefit and one unintended cost with a clear reason.</w:t>
      </w:r>
      <w:r>
        <w:rPr>
          <w:sz w:val="22"/>
          <w:szCs w:val="22"/>
        </w:rPr>
        <w:br/>
      </w:r>
      <w:r>
        <w:rPr>
          <w:sz w:val="22"/>
          <w:szCs w:val="22"/>
        </w:rPr>
        <w:t xml:space="preserve">A likely benefit: the standard protects public health by limiting the cloudy particles that can shield disease-causing organisms from disinfection. A likely unintended cost: meeting the standard consistently may require filtration upgrades that a small rural system with few ratepayers has difficulty affording without raising bills sharply.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Spruce County Turbidity: A Water-Quality Compliance Worksheet</dc:title>
  <dc:subject>Worksheet · Grade 9 · Social Studies &amp; Civics</dc:subject>
  <dc:creator>Water for Schools</dc:creator>
  <cp:keywords>Worksheet, Grade 9, Social Studies &amp; Civics</cp:keywords>
  <dc:description>Grade 9 worksheet where students calculate a fictional rural water system's monthly turbidity compliance percentage against the real federal 95 percent standard.</dc:description>
  <cp:lastModifiedBy>Water for Schools</cp:lastModifiedBy>
  <cp:revision>1</cp:revision>
  <dcterms:created xsi:type="dcterms:W3CDTF">2026-10-19T16:29:29.872Z</dcterms:created>
  <dcterms:modified xsi:type="dcterms:W3CDTF">2026-10-19T16:29:29.872Z</dcterms:modified>
</cp:coreProperties>
</file>

<file path=docProps/custom.xml><?xml version="1.0" encoding="utf-8"?>
<Properties xmlns="http://schemas.openxmlformats.org/officeDocument/2006/custom-properties" xmlns:vt="http://schemas.openxmlformats.org/officeDocument/2006/docPropsVTypes"/>
</file>