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Talbot Bay's Algae Problem: Regulating Point and Nonpoint Pollution</w:t>
      </w:r>
    </w:p>
    <w:p>
      <w:pPr>
        <w:keepNext/>
        <w:spacing w:after="160"/>
      </w:pPr>
      <w:r>
        <w:rPr>
          <w:color w:val="5B6B70"/>
          <w:sz w:val="20"/>
          <w:szCs w:val="20"/>
        </w:rPr>
        <w:t xml:space="preserve">Lesson plan · Grade 9 · Social Studies &amp; Civics</w:t>
      </w:r>
    </w:p>
    <w:p>
      <w:pPr>
        <w:spacing w:after="100" w:line="264"/>
      </w:pPr>
      <w:r>
        <w:rPr>
          <w:i/>
          <w:iCs/>
          <w:color w:val="12333F"/>
          <w:sz w:val="22"/>
          <w:szCs w:val="22"/>
        </w:rPr>
        <w:t xml:space="preserve">Grade 9 lesson comparing mandatory regulation to voluntary incentives for farm nutrient runoff into a fictional bay, weighing benefits against unintended costs.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policy-tool organizer (2 per group)</w:t>
            </w:r>
          </w:p>
          <w:p>
            <w:pPr>
              <w:spacing w:after="0"/>
            </w:pPr>
            <w:r>
              <w:rPr>
                <w:sz w:val="20"/>
                <w:szCs w:val="20"/>
              </w:rPr>
              <w:t xml:space="preserve">• Chart paper</w:t>
            </w:r>
          </w:p>
          <w:p>
            <w:pPr>
              <w:spacing w:after="0"/>
            </w:pPr>
            <w:r>
              <w:rPr>
                <w:sz w:val="20"/>
                <w:szCs w:val="20"/>
              </w:rPr>
              <w:t xml:space="preserve">• Markers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why nutrients such as nitrogen and phosphorus function as both an agricultural resource and a water pollutant.</w:t>
      </w:r>
    </w:p>
    <w:p>
      <w:pPr>
        <w:pStyle w:val="ListParagraph"/>
        <w:keepNext/>
        <w:keepLines/>
        <w:numPr>
          <w:ilvl w:val="0"/>
          <w:numId w:val="2"/>
        </w:numPr>
        <w:spacing w:after="60" w:line="264"/>
        <w:ind w:left="720" w:hanging="360"/>
      </w:pPr>
      <w:r>
        <w:rPr>
          <w:sz w:val="22"/>
          <w:szCs w:val="22"/>
        </w:rPr>
        <w:t xml:space="preserve">Students will distinguish point-source from nonpoint-source pollution and describe how each is treated differently under the Clean Water Act.</w:t>
      </w:r>
    </w:p>
    <w:p>
      <w:pPr>
        <w:pStyle w:val="ListParagraph"/>
        <w:keepNext/>
        <w:keepLines/>
        <w:numPr>
          <w:ilvl w:val="0"/>
          <w:numId w:val="2"/>
        </w:numPr>
        <w:spacing w:after="60" w:line="264"/>
        <w:ind w:left="720" w:hanging="360"/>
      </w:pPr>
      <w:r>
        <w:rPr>
          <w:sz w:val="22"/>
          <w:szCs w:val="22"/>
        </w:rPr>
        <w:t xml:space="preserve">Students will evaluate the intended and unintended outcomes of a mandatory regulation compared to a voluntary incentive program.</w:t>
      </w:r>
    </w:p>
    <w:p>
      <w:pPr>
        <w:pStyle w:val="ListParagraph"/>
        <w:keepLines/>
        <w:numPr>
          <w:ilvl w:val="0"/>
          <w:numId w:val="2"/>
        </w:numPr>
        <w:spacing w:after="60" w:line="264"/>
        <w:ind w:left="720" w:hanging="360"/>
      </w:pPr>
      <w:r>
        <w:rPr>
          <w:sz w:val="22"/>
          <w:szCs w:val="22"/>
        </w:rPr>
        <w:t xml:space="preserve">Students will draft a policy recommendation supported by at least one named benefit and one named cost.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D2.Civ.13.9-12 (C3 Framework)</w:t>
      </w:r>
      <w:r>
        <w:rPr>
          <w:sz w:val="22"/>
          <w:szCs w:val="22"/>
        </w:rPr>
        <w:t xml:space="preserve">: Evaluate public policies in terms of intended and unintended outcomes, and related consequences.</w:t>
      </w:r>
    </w:p>
    <w:p>
      <w:pPr>
        <w:spacing w:after="100" w:line="264"/>
        <w:ind w:left="360"/>
      </w:pPr>
      <w:r>
        <w:rPr>
          <w:i/>
          <w:iCs/>
          <w:color w:val="5B6B70"/>
          <w:sz w:val="20"/>
          <w:szCs w:val="20"/>
        </w:rPr>
        <w:t xml:space="preserve">How this material addresses it: The policy analysis stations require students to evaluate the intended and unintended outcomes of a mandatory nutrient limit compared to a voluntary incentive program for farmers in the Talbot Bay watershed.</w:t>
      </w:r>
    </w:p>
    <w:p>
      <w:pPr>
        <w:keepNext/>
        <w:spacing w:after="40" w:line="264"/>
      </w:pPr>
      <w:r>
        <w:rPr>
          <w:b/>
          <w:bCs/>
          <w:sz w:val="22"/>
          <w:szCs w:val="22"/>
        </w:rPr>
        <w:t xml:space="preserve">D2.Eco.1.9-12 (C3 Framework)</w:t>
      </w:r>
      <w:r>
        <w:rPr>
          <w:sz w:val="22"/>
          <w:szCs w:val="22"/>
        </w:rPr>
        <w:t xml:space="preserve">: Analyze how incentives influence choices that may result in policies with a range of costs and benefits for different groups.</w:t>
      </w:r>
    </w:p>
    <w:p>
      <w:pPr>
        <w:spacing w:after="100" w:line="264"/>
        <w:ind w:left="360"/>
      </w:pPr>
      <w:r>
        <w:rPr>
          <w:i/>
          <w:iCs/>
          <w:color w:val="5B6B70"/>
          <w:sz w:val="20"/>
          <w:szCs w:val="20"/>
        </w:rPr>
        <w:t xml:space="preserve">How this material addresses it: The policy recommendation task asks students to analyze how a cost-share incentive program changes farmers' choices, producing a policy whose costs and benefits fall unevenly on farmers, taxpayers, and bay users.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nutrient, point source, nonpoint source, incentive program</w:t>
      </w:r>
    </w:p>
    <w:p>
      <w:pPr>
        <w:pStyle w:val="Heading2"/>
        <w:keepNext/>
        <w:keepLines/>
      </w:pPr>
      <w:r>
        <w:rPr>
          <w:sz w:val="28"/>
          <w:szCs w:val="28"/>
        </w:rPr>
        <w:t xml:space="preserve">Teacher overview</w:t>
      </w:r>
    </w:p>
    <w:p>
      <w:pPr>
        <w:spacing w:after="100" w:line="264"/>
      </w:pPr>
      <w:r>
        <w:rPr>
          <w:sz w:val="22"/>
          <w:szCs w:val="22"/>
        </w:rPr>
        <w:t xml:space="preserve">This lesson uses the fictional Talbot Bay, where a thick green algal bloom has killed fish along its shoreline each of the last three summers, to teach how the same nutrients that make crops grow can also damage the water bodies they eventually reach. Nitrogen and phosphorus, applied to farm fields as fertilizer, are essential to agriculture, but the portion that runs off into streams and bays feeds algae blooms that die and decompose, a process that consumes the dissolved oxygen fish need to survive. A common misconception this lesson addresses is that all water pollution is regulated the same way; students often assume a wastewater treatment plant and a farm field face the same rules, when in fact the Clean Water Act regulates a treatment plant's discharge (a point source) with numeric permit limits, while runoff from farmland (a nonpoint source) is governed mainly through voluntary, incentive-based programs rather than mandatory limits.</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Describe the scene at Talbot Bay: thick green water, a fish kill along the shore, and a public health advisory posted at the boat ramp each of the past three summers. Ask students: "What could cause a bay to suddenly turn green and lose its fish? What are some possible sources?"</w:t>
      </w:r>
    </w:p>
    <w:p>
      <w:pPr>
        <w:spacing w:after="100" w:line="264"/>
      </w:pPr>
      <w:r>
        <w:rPr>
          <w:b/>
          <w:bCs/>
          <w:sz w:val="22"/>
          <w:szCs w:val="22"/>
        </w:rPr>
        <w:t xml:space="preserve">Direct instruction (12 min):</w:t>
      </w:r>
      <w:r>
        <w:rPr>
          <w:sz w:val="22"/>
          <w:szCs w:val="22"/>
        </w:rPr>
        <w:t xml:space="preserve"> Explain that nitrogen and phosphorus are essential plant nutrients, which is why farmers apply them as fertilizer, but that the same nutrients cause explosive algae growth when they wash into a bay. When the algae die, bacteria that decompose them consume dissolved oxygen from the water; most fish need dissolved oxygen above 5 mg/L to survive, and a severe bloom can push oxygen levels well below that. Introduce the point-source and nonpoint-source distinction: a wastewater treatment plant (a point source) must hold a permit limiting its effluent to 30 mg/L or less of BOD and total suspended solids, roughly an 85 percent reduction from raw sewage's typical 200 to 300 mg/L (limits on organic matter and solids, not nutrients, although many plants that discharge to nutrient-polluted waters also have nitrogen or phosphorus limits written into their permits), while runoff from farm fields (a nonpoint source) generally is not required to meet a numeric limit at all and is instead addressed through voluntary programs that pay or encourage farmers to change practices.</w:t>
      </w:r>
    </w:p>
    <w:p>
      <w:pPr>
        <w:spacing w:after="100" w:line="264"/>
      </w:pPr>
      <w:r>
        <w:rPr>
          <w:b/>
          <w:bCs/>
          <w:sz w:val="22"/>
          <w:szCs w:val="22"/>
        </w:rPr>
        <w:t xml:space="preserve">Policy analysis stations (15 min):</w:t>
      </w:r>
      <w:r>
        <w:rPr>
          <w:sz w:val="22"/>
          <w:szCs w:val="22"/>
        </w:rPr>
        <w:t xml:space="preserve"> In groups of three or four, students receive an organizer comparing two policy tools Talbot Bay's watershed council is considering for farms in the watershed: Tool A, a mandatory nutrient limit similar to what treatment plants already face, and Tool B, a voluntary cost-share program that pays farmers a share of the cost to plant buffer strips of grass or trees along streams. For each tool, groups record one intended benefit and one likely unintended consequence (for example, Tool A might reduce runoff quickly but could be difficult to enforce and expensive for farmers to meet immediately; Tool B might be easier for farmers to accept but relies on voluntary participation, so some farms might not adopt it at all).</w:t>
      </w:r>
    </w:p>
    <w:p>
      <w:pPr>
        <w:spacing w:after="100" w:line="264"/>
      </w:pPr>
      <w:r>
        <w:rPr>
          <w:b/>
          <w:bCs/>
          <w:sz w:val="22"/>
          <w:szCs w:val="22"/>
        </w:rPr>
        <w:t xml:space="preserve">Policy recommendation drafting (8 min):</w:t>
      </w:r>
      <w:r>
        <w:rPr>
          <w:sz w:val="22"/>
          <w:szCs w:val="22"/>
        </w:rPr>
        <w:t xml:space="preserve"> Each group writes a one-paragraph recommendation to Talbot Bay's watershed council, choosing one tool or a combination of both, and must cite at least one specific benefit and one specific cost from their organizer to support the recommendation.</w:t>
      </w:r>
    </w:p>
    <w:p>
      <w:pPr>
        <w:spacing w:after="100" w:line="264"/>
      </w:pPr>
      <w:r>
        <w:rPr>
          <w:b/>
          <w:bCs/>
          <w:sz w:val="22"/>
          <w:szCs w:val="22"/>
        </w:rPr>
        <w:t xml:space="preserve">Debrief / exit ticket (5 min):</w:t>
      </w:r>
      <w:r>
        <w:rPr>
          <w:sz w:val="22"/>
          <w:szCs w:val="22"/>
        </w:rPr>
        <w:t xml:space="preserve"> Each student answers individually: "In one sentence, explain why a nonpoint source like farm runoff is harder to regulate with a numeric limit than a wastewater treatment plant's discharge." Collect and scan responses for whether students identify that a treatment plant discharges from one identifiable pipe while runoff enters the water from many scattered points across a farm.</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policy organizer with the "intended benefit" column already completed for both tools, so groups focus only on identifying the unintended consequence for each. Offer a sentence frame for the recommendation: "The watershed council should choose Tool ___ because it offers the benefit of ___, even though it has the cost of ___."</w:t>
      </w:r>
    </w:p>
    <w:p>
      <w:pPr>
        <w:pStyle w:val="Heading3"/>
        <w:keepNext/>
        <w:keepLines/>
      </w:pPr>
      <w:r>
        <w:rPr>
          <w:sz w:val="24"/>
          <w:szCs w:val="24"/>
        </w:rPr>
        <w:t xml:space="preserve">Extension (above grade level)</w:t>
      </w:r>
    </w:p>
    <w:p>
      <w:pPr>
        <w:spacing w:after="100" w:line="264"/>
      </w:pPr>
      <w:r>
        <w:rPr>
          <w:sz w:val="22"/>
          <w:szCs w:val="22"/>
        </w:rPr>
        <w:t xml:space="preserve">Ask groups to design a third policy tool that blends elements of Tool A and Tool B (for example, a program that starts voluntary but becomes mandatory for farms that do not participate within a stated number of years), and to justify why a blended approach might avoid some of the unintended consequences identified for each pure tool.</w:t>
      </w:r>
    </w:p>
    <w:p>
      <w:pPr>
        <w:pStyle w:val="Heading3"/>
        <w:keepNext/>
        <w:keepLines/>
      </w:pPr>
      <w:r>
        <w:rPr>
          <w:sz w:val="24"/>
          <w:szCs w:val="24"/>
        </w:rPr>
        <w:t xml:space="preserve">ELL supports</w:t>
      </w:r>
    </w:p>
    <w:p>
      <w:pPr>
        <w:spacing w:after="100" w:line="264"/>
      </w:pPr>
      <w:r>
        <w:rPr>
          <w:sz w:val="22"/>
          <w:szCs w:val="22"/>
        </w:rPr>
        <w:t xml:space="preserve">Pre-teach "nutrient," "point source," and "nonpoint source" using a simple diagram: one arrow from a labeled pipe into the bay (point source) and several small arrows from a farm field into the bay (nonpoint source). Allow the policy recommendation to be presented as a short bulleted list rather than a full paragraph.</w:t>
      </w:r>
    </w:p>
    <w:p>
      <w:pPr>
        <w:pStyle w:val="Heading2"/>
        <w:keepNext/>
        <w:keepLines/>
      </w:pPr>
      <w:r>
        <w:rPr>
          <w:sz w:val="28"/>
          <w:szCs w:val="28"/>
        </w:rPr>
        <w:t xml:space="preserve">Extensions</w:t>
      </w:r>
    </w:p>
    <w:p>
      <w:pPr>
        <w:spacing w:after="100" w:line="264"/>
      </w:pPr>
      <w:r>
        <w:rPr>
          <w:sz w:val="22"/>
          <w:szCs w:val="22"/>
        </w:rPr>
        <w:t xml:space="preserve">Have students research whether their own state or region has a similar cost-share program that pays farmers for conservation practices such as buffer strips or cover crops, and report back on what the program requires.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Talbot Bay's Algae Problem: Regulating Point and Nonpoint Pollution</w:t>
      </w:r>
    </w:p>
    <w:p>
      <w:pPr>
        <w:keepNext/>
        <w:spacing w:after="160"/>
      </w:pPr>
      <w:r>
        <w:rPr>
          <w:color w:val="5B6B70"/>
          <w:sz w:val="20"/>
          <w:szCs w:val="20"/>
        </w:rPr>
        <w:t xml:space="preserve">Lesson plan · Grade 9 · Social Studies &amp; Civics</w:t>
      </w:r>
    </w:p>
    <w:p>
      <w:pPr>
        <w:spacing w:after="100" w:line="264"/>
      </w:pPr>
      <w:r>
        <w:rPr>
          <w:b/>
          <w:bCs/>
          <w:sz w:val="22"/>
          <w:szCs w:val="22"/>
        </w:rPr>
        <w:t xml:space="preserve">Formative check (policy organizer):</w:t>
      </w:r>
      <w:r>
        <w:rPr>
          <w:sz w:val="22"/>
          <w:szCs w:val="22"/>
        </w:rPr>
        <w:t xml:space="preserve"> There is no single correct answer, but strong responses for Tool A typically note the benefit of a faster, more certain reduction in runoff balanced against the cost of enforcement difficulty and expense for farmers, while strong responses for Tool B note the benefit of easier farmer buy-in balanced against the cost of uncertain, voluntary participation.</w:t>
      </w:r>
    </w:p>
    <w:p>
      <w:pPr>
        <w:spacing w:after="100" w:line="264"/>
      </w:pPr>
      <w:r>
        <w:rPr>
          <w:b/>
          <w:bCs/>
          <w:sz w:val="22"/>
          <w:szCs w:val="22"/>
        </w:rPr>
        <w:t xml:space="preserve">Exit ticket answer:</w:t>
      </w:r>
      <w:r>
        <w:rPr>
          <w:sz w:val="22"/>
          <w:szCs w:val="22"/>
        </w:rPr>
        <w:t xml:space="preserve"> A strong answer explains that a treatment plant's discharge comes from one identifiable pipe that can be tested and measured against a numeric limit, while farm runoff enters a bay from many scattered points across a field with each rainstorm, making it far harder to measure, attribute to one source, or enforce a single numeric limit against.</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Talbot Bay's Algae Problem: Regulating Point and Nonpoint Pollution</dc:title>
  <dc:subject>Lesson plan · Grade 9 · Social Studies &amp; Civics</dc:subject>
  <dc:creator>Water for Schools</dc:creator>
  <cp:keywords>Lesson plan, Grade 9, Social Studies &amp; Civics</cp:keywords>
  <dc:description>Grade 9 lesson comparing mandatory regulation to voluntary incentives for farm nutrient runoff into a fictional bay, weighing benefits against unintended costs.</dc:description>
  <cp:lastModifiedBy>Water for Schools</cp:lastModifiedBy>
  <cp:revision>1</cp:revision>
  <dcterms:created xsi:type="dcterms:W3CDTF">2026-10-19T16:29:29.898Z</dcterms:created>
  <dcterms:modified xsi:type="dcterms:W3CDTF">2026-10-19T16:29:29.898Z</dcterms:modified>
</cp:coreProperties>
</file>

<file path=docProps/custom.xml><?xml version="1.0" encoding="utf-8"?>
<Properties xmlns="http://schemas.openxmlformats.org/officeDocument/2006/custom-properties" xmlns:vt="http://schemas.openxmlformats.org/officeDocument/2006/docPropsVTypes"/>
</file>